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E6" w:rsidRPr="00134CF5" w:rsidRDefault="001939BE" w:rsidP="00134CF5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134CF5">
        <w:rPr>
          <w:rFonts w:ascii="Garamond" w:hAnsi="Garamond"/>
          <w:b/>
          <w:sz w:val="24"/>
          <w:szCs w:val="24"/>
        </w:rPr>
        <w:t xml:space="preserve">Ciclo seminariale </w:t>
      </w:r>
      <w:proofErr w:type="gramStart"/>
      <w:r w:rsidRPr="00134CF5">
        <w:rPr>
          <w:rFonts w:ascii="Garamond" w:hAnsi="Garamond"/>
          <w:b/>
          <w:sz w:val="24"/>
          <w:szCs w:val="24"/>
        </w:rPr>
        <w:t>«</w:t>
      </w:r>
      <w:proofErr w:type="gramEnd"/>
      <w:r w:rsidRPr="00134CF5">
        <w:rPr>
          <w:rFonts w:ascii="Garamond" w:hAnsi="Garamond"/>
          <w:b/>
          <w:sz w:val="24"/>
          <w:szCs w:val="24"/>
        </w:rPr>
        <w:t>Le illusioni della mente collettiva»</w:t>
      </w:r>
    </w:p>
    <w:p w:rsidR="001939BE" w:rsidRPr="00134CF5" w:rsidRDefault="001939BE" w:rsidP="00134CF5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proofErr w:type="gramStart"/>
      <w:r w:rsidRPr="00134CF5">
        <w:rPr>
          <w:rFonts w:ascii="Garamond" w:hAnsi="Garamond"/>
          <w:b/>
          <w:sz w:val="24"/>
          <w:szCs w:val="24"/>
        </w:rPr>
        <w:t>20-21-22</w:t>
      </w:r>
      <w:proofErr w:type="gramEnd"/>
      <w:r w:rsidRPr="00134CF5">
        <w:rPr>
          <w:rFonts w:ascii="Garamond" w:hAnsi="Garamond"/>
          <w:b/>
          <w:sz w:val="24"/>
          <w:szCs w:val="24"/>
        </w:rPr>
        <w:t xml:space="preserve"> maggio 2015</w:t>
      </w:r>
    </w:p>
    <w:p w:rsidR="00A703F6" w:rsidRDefault="00A703F6" w:rsidP="00134CF5">
      <w:pPr>
        <w:spacing w:line="240" w:lineRule="auto"/>
        <w:contextualSpacing/>
        <w:jc w:val="center"/>
        <w:rPr>
          <w:rFonts w:ascii="Garamond" w:hAnsi="Garamond"/>
          <w:i/>
          <w:sz w:val="24"/>
          <w:szCs w:val="24"/>
        </w:rPr>
      </w:pPr>
    </w:p>
    <w:p w:rsidR="005D48E6" w:rsidRPr="00134CF5" w:rsidRDefault="005D48E6" w:rsidP="00134CF5">
      <w:pPr>
        <w:spacing w:line="240" w:lineRule="auto"/>
        <w:contextualSpacing/>
        <w:jc w:val="center"/>
        <w:rPr>
          <w:rFonts w:ascii="Garamond" w:hAnsi="Garamond"/>
          <w:i/>
          <w:sz w:val="24"/>
          <w:szCs w:val="24"/>
        </w:rPr>
      </w:pPr>
      <w:r w:rsidRPr="00134CF5">
        <w:rPr>
          <w:rFonts w:ascii="Garamond" w:hAnsi="Garamond"/>
          <w:i/>
          <w:sz w:val="24"/>
          <w:szCs w:val="24"/>
        </w:rPr>
        <w:t>Relazione finale</w:t>
      </w:r>
      <w:r w:rsidR="008B1688">
        <w:rPr>
          <w:rFonts w:ascii="Garamond" w:hAnsi="Garamond"/>
          <w:i/>
          <w:sz w:val="24"/>
          <w:szCs w:val="24"/>
        </w:rPr>
        <w:t xml:space="preserve"> di Denise Celentano</w:t>
      </w:r>
    </w:p>
    <w:p w:rsidR="005D48E6" w:rsidRDefault="005D48E6" w:rsidP="00134CF5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</w:p>
    <w:p w:rsidR="00A703F6" w:rsidRPr="00134CF5" w:rsidRDefault="00A703F6" w:rsidP="00134CF5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</w:p>
    <w:p w:rsidR="007A3BCE" w:rsidRDefault="0018795A" w:rsidP="00656D15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 w:rsidRPr="00134CF5">
        <w:rPr>
          <w:rFonts w:ascii="Garamond" w:hAnsi="Garamond"/>
          <w:sz w:val="24"/>
          <w:szCs w:val="24"/>
        </w:rPr>
        <w:t xml:space="preserve">In questa relazione mi propongo di ripercorrere </w:t>
      </w:r>
      <w:r w:rsidR="003A685A">
        <w:rPr>
          <w:rFonts w:ascii="Garamond" w:hAnsi="Garamond"/>
          <w:sz w:val="24"/>
          <w:szCs w:val="24"/>
        </w:rPr>
        <w:t>le</w:t>
      </w:r>
      <w:r w:rsidRPr="00134CF5">
        <w:rPr>
          <w:rFonts w:ascii="Garamond" w:hAnsi="Garamond"/>
          <w:sz w:val="24"/>
          <w:szCs w:val="24"/>
        </w:rPr>
        <w:t xml:space="preserve"> lezioni seminariali</w:t>
      </w:r>
      <w:r w:rsidR="007503E3" w:rsidRPr="00134CF5">
        <w:rPr>
          <w:rFonts w:ascii="Garamond" w:hAnsi="Garamond"/>
          <w:sz w:val="24"/>
          <w:szCs w:val="24"/>
        </w:rPr>
        <w:t xml:space="preserve"> tenute dalle docenti </w:t>
      </w:r>
      <w:proofErr w:type="gramStart"/>
      <w:r w:rsidR="007503E3" w:rsidRPr="00134CF5">
        <w:rPr>
          <w:rFonts w:ascii="Garamond" w:hAnsi="Garamond"/>
          <w:sz w:val="24"/>
          <w:szCs w:val="24"/>
        </w:rPr>
        <w:t>Fiorinda Li</w:t>
      </w:r>
      <w:proofErr w:type="gramEnd"/>
      <w:r w:rsidR="007503E3" w:rsidRPr="00134CF5">
        <w:rPr>
          <w:rFonts w:ascii="Garamond" w:hAnsi="Garamond"/>
          <w:sz w:val="24"/>
          <w:szCs w:val="24"/>
        </w:rPr>
        <w:t xml:space="preserve"> Vigni</w:t>
      </w:r>
      <w:r w:rsidR="00A140B9">
        <w:rPr>
          <w:rFonts w:ascii="Garamond" w:hAnsi="Garamond"/>
          <w:sz w:val="24"/>
          <w:szCs w:val="24"/>
        </w:rPr>
        <w:t xml:space="preserve"> – </w:t>
      </w:r>
      <w:r w:rsidR="00C972AA" w:rsidRPr="00134CF5">
        <w:rPr>
          <w:rFonts w:ascii="Garamond" w:hAnsi="Garamond"/>
          <w:sz w:val="24"/>
          <w:szCs w:val="24"/>
        </w:rPr>
        <w:t>«</w:t>
      </w:r>
      <w:r w:rsidR="00C972AA">
        <w:rPr>
          <w:rFonts w:ascii="Garamond" w:hAnsi="Garamond"/>
          <w:sz w:val="24"/>
          <w:szCs w:val="24"/>
        </w:rPr>
        <w:t>Persuasione e inganno»</w:t>
      </w:r>
      <w:r w:rsidR="00D869BF">
        <w:rPr>
          <w:rFonts w:ascii="Garamond" w:hAnsi="Garamond"/>
          <w:sz w:val="24"/>
          <w:szCs w:val="24"/>
        </w:rPr>
        <w:t xml:space="preserve"> </w:t>
      </w:r>
      <w:r w:rsidR="00A140B9">
        <w:rPr>
          <w:rFonts w:ascii="Garamond" w:hAnsi="Garamond"/>
          <w:sz w:val="24"/>
          <w:szCs w:val="24"/>
        </w:rPr>
        <w:t>–</w:t>
      </w:r>
      <w:r w:rsidR="007503E3" w:rsidRPr="00134CF5">
        <w:rPr>
          <w:rFonts w:ascii="Garamond" w:hAnsi="Garamond"/>
          <w:sz w:val="24"/>
          <w:szCs w:val="24"/>
        </w:rPr>
        <w:t xml:space="preserve"> e Simona Forti</w:t>
      </w:r>
      <w:r w:rsidR="00C972AA">
        <w:rPr>
          <w:rFonts w:ascii="Garamond" w:hAnsi="Garamond"/>
          <w:sz w:val="24"/>
          <w:szCs w:val="24"/>
        </w:rPr>
        <w:t xml:space="preserve"> </w:t>
      </w:r>
      <w:r w:rsidR="00A140B9">
        <w:rPr>
          <w:rFonts w:ascii="Garamond" w:hAnsi="Garamond"/>
          <w:sz w:val="24"/>
          <w:szCs w:val="24"/>
        </w:rPr>
        <w:t xml:space="preserve">– </w:t>
      </w:r>
      <w:r w:rsidR="00C972AA" w:rsidRPr="00134CF5">
        <w:rPr>
          <w:rFonts w:ascii="Garamond" w:hAnsi="Garamond"/>
          <w:sz w:val="24"/>
          <w:szCs w:val="24"/>
        </w:rPr>
        <w:t>«</w:t>
      </w:r>
      <w:r w:rsidR="00C972AA">
        <w:rPr>
          <w:rFonts w:ascii="Garamond" w:hAnsi="Garamond"/>
          <w:sz w:val="24"/>
          <w:szCs w:val="24"/>
        </w:rPr>
        <w:t>Ha ancora senso oggi parlare di male?»</w:t>
      </w:r>
      <w:r w:rsidR="00A140B9">
        <w:rPr>
          <w:rFonts w:ascii="Garamond" w:hAnsi="Garamond"/>
          <w:sz w:val="24"/>
          <w:szCs w:val="24"/>
        </w:rPr>
        <w:t xml:space="preserve"> –</w:t>
      </w:r>
      <w:r w:rsidR="00D869BF">
        <w:rPr>
          <w:rFonts w:ascii="Garamond" w:hAnsi="Garamond"/>
          <w:sz w:val="24"/>
          <w:szCs w:val="24"/>
        </w:rPr>
        <w:t xml:space="preserve"> presso l</w:t>
      </w:r>
      <w:r w:rsidR="00662A4D">
        <w:rPr>
          <w:rFonts w:ascii="Garamond" w:hAnsi="Garamond"/>
          <w:sz w:val="24"/>
          <w:szCs w:val="24"/>
        </w:rPr>
        <w:t>a Scuola di Roma dell</w:t>
      </w:r>
      <w:r w:rsidR="00D869BF">
        <w:rPr>
          <w:rFonts w:ascii="Garamond" w:hAnsi="Garamond"/>
          <w:sz w:val="24"/>
          <w:szCs w:val="24"/>
        </w:rPr>
        <w:t xml:space="preserve">’Istituto italiano per gli studi filosofici </w:t>
      </w:r>
      <w:r w:rsidR="00A66811">
        <w:rPr>
          <w:rFonts w:ascii="Garamond" w:hAnsi="Garamond"/>
          <w:sz w:val="24"/>
          <w:szCs w:val="24"/>
        </w:rPr>
        <w:t>nei giorni 20-21-22 maggio 2015</w:t>
      </w:r>
      <w:r w:rsidRPr="00134CF5">
        <w:rPr>
          <w:rFonts w:ascii="Garamond" w:hAnsi="Garamond"/>
          <w:sz w:val="24"/>
          <w:szCs w:val="24"/>
        </w:rPr>
        <w:t>,</w:t>
      </w:r>
      <w:r w:rsidR="007503E3" w:rsidRPr="00134CF5">
        <w:rPr>
          <w:rFonts w:ascii="Garamond" w:hAnsi="Garamond"/>
          <w:sz w:val="24"/>
          <w:szCs w:val="24"/>
        </w:rPr>
        <w:t xml:space="preserve"> </w:t>
      </w:r>
      <w:r w:rsidR="000A64DD">
        <w:rPr>
          <w:rFonts w:ascii="Garamond" w:hAnsi="Garamond"/>
          <w:sz w:val="24"/>
          <w:szCs w:val="24"/>
        </w:rPr>
        <w:t xml:space="preserve">per includervi </w:t>
      </w:r>
      <w:r w:rsidR="00C4780F">
        <w:rPr>
          <w:rFonts w:ascii="Garamond" w:hAnsi="Garamond"/>
          <w:sz w:val="24"/>
          <w:szCs w:val="24"/>
        </w:rPr>
        <w:t>ulteriori spunti</w:t>
      </w:r>
      <w:r w:rsidR="00A66811">
        <w:rPr>
          <w:rFonts w:ascii="Garamond" w:hAnsi="Garamond"/>
          <w:sz w:val="24"/>
          <w:szCs w:val="24"/>
        </w:rPr>
        <w:t xml:space="preserve"> di riflessione</w:t>
      </w:r>
      <w:r w:rsidR="008B1688">
        <w:rPr>
          <w:rFonts w:ascii="Garamond" w:hAnsi="Garamond"/>
          <w:sz w:val="24"/>
          <w:szCs w:val="24"/>
        </w:rPr>
        <w:t>, notazioni critiche</w:t>
      </w:r>
      <w:r w:rsidR="00C4780F">
        <w:rPr>
          <w:rFonts w:ascii="Garamond" w:hAnsi="Garamond"/>
          <w:sz w:val="24"/>
          <w:szCs w:val="24"/>
        </w:rPr>
        <w:t xml:space="preserve"> e commenti.</w:t>
      </w:r>
    </w:p>
    <w:p w:rsidR="00D86782" w:rsidRDefault="00D86782" w:rsidP="00656D15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</w:p>
    <w:p w:rsidR="00D86782" w:rsidRPr="00D86782" w:rsidRDefault="00D86782" w:rsidP="00D86782">
      <w:pPr>
        <w:spacing w:line="276" w:lineRule="auto"/>
        <w:ind w:firstLine="284"/>
        <w:contextualSpacing/>
        <w:jc w:val="center"/>
        <w:rPr>
          <w:rFonts w:ascii="Garamond" w:hAnsi="Garamond"/>
          <w:b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</w:rPr>
        <w:t>I</w:t>
      </w:r>
      <w:proofErr w:type="gramEnd"/>
    </w:p>
    <w:p w:rsidR="00D86782" w:rsidRDefault="00D86782" w:rsidP="00656D15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</w:p>
    <w:p w:rsidR="00F00A6A" w:rsidRDefault="00D86782" w:rsidP="00D86782">
      <w:pPr>
        <w:spacing w:line="276" w:lineRule="auto"/>
        <w:ind w:firstLine="284"/>
        <w:contextualSpacing/>
        <w:jc w:val="center"/>
        <w:rPr>
          <w:rFonts w:ascii="Garamond" w:hAnsi="Garamond"/>
          <w:b/>
          <w:sz w:val="24"/>
          <w:szCs w:val="24"/>
        </w:rPr>
      </w:pPr>
      <w:r w:rsidRPr="00D86782">
        <w:rPr>
          <w:rFonts w:ascii="Garamond" w:hAnsi="Garamond"/>
          <w:b/>
          <w:sz w:val="24"/>
          <w:szCs w:val="24"/>
        </w:rPr>
        <w:t xml:space="preserve">Lezione di F. </w:t>
      </w:r>
      <w:proofErr w:type="gramStart"/>
      <w:r w:rsidRPr="00D86782">
        <w:rPr>
          <w:rFonts w:ascii="Garamond" w:hAnsi="Garamond"/>
          <w:b/>
          <w:sz w:val="24"/>
          <w:szCs w:val="24"/>
        </w:rPr>
        <w:t>Li</w:t>
      </w:r>
      <w:proofErr w:type="gramEnd"/>
      <w:r w:rsidRPr="00D86782">
        <w:rPr>
          <w:rFonts w:ascii="Garamond" w:hAnsi="Garamond"/>
          <w:b/>
          <w:sz w:val="24"/>
          <w:szCs w:val="24"/>
        </w:rPr>
        <w:t xml:space="preserve"> Vigni, </w:t>
      </w:r>
      <w:r w:rsidRPr="00D86782">
        <w:rPr>
          <w:rFonts w:ascii="Garamond" w:hAnsi="Garamond"/>
          <w:b/>
          <w:i/>
          <w:sz w:val="24"/>
          <w:szCs w:val="24"/>
        </w:rPr>
        <w:t>Persuasione e inganno</w:t>
      </w:r>
      <w:r w:rsidR="00F00A6A">
        <w:rPr>
          <w:rFonts w:ascii="Garamond" w:hAnsi="Garamond"/>
          <w:b/>
          <w:sz w:val="24"/>
          <w:szCs w:val="24"/>
        </w:rPr>
        <w:t xml:space="preserve"> </w:t>
      </w:r>
    </w:p>
    <w:p w:rsidR="00D86782" w:rsidRDefault="00F00A6A" w:rsidP="00D86782">
      <w:pPr>
        <w:spacing w:line="276" w:lineRule="auto"/>
        <w:ind w:firstLine="284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(</w:t>
      </w:r>
      <w:r w:rsidR="00D86782" w:rsidRPr="00D86782">
        <w:rPr>
          <w:rFonts w:ascii="Garamond" w:hAnsi="Garamond"/>
          <w:b/>
          <w:sz w:val="24"/>
          <w:szCs w:val="24"/>
        </w:rPr>
        <w:t>20-21 maggio 2015</w:t>
      </w:r>
      <w:r>
        <w:rPr>
          <w:rFonts w:ascii="Garamond" w:hAnsi="Garamond"/>
          <w:b/>
          <w:sz w:val="24"/>
          <w:szCs w:val="24"/>
        </w:rPr>
        <w:t>)</w:t>
      </w:r>
    </w:p>
    <w:p w:rsidR="00D86782" w:rsidRPr="00D86782" w:rsidRDefault="00D86782" w:rsidP="00D86782">
      <w:pPr>
        <w:spacing w:line="276" w:lineRule="auto"/>
        <w:ind w:firstLine="284"/>
        <w:contextualSpacing/>
        <w:jc w:val="center"/>
        <w:rPr>
          <w:rFonts w:ascii="Garamond" w:hAnsi="Garamond"/>
          <w:b/>
          <w:sz w:val="24"/>
          <w:szCs w:val="24"/>
        </w:rPr>
      </w:pPr>
    </w:p>
    <w:p w:rsidR="005E04B9" w:rsidRPr="005E04B9" w:rsidRDefault="005E04B9" w:rsidP="005E04B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hAnsi="Garamond"/>
          <w:i/>
          <w:sz w:val="24"/>
          <w:szCs w:val="24"/>
        </w:rPr>
      </w:pPr>
      <w:r w:rsidRPr="005E04B9">
        <w:rPr>
          <w:rFonts w:ascii="Garamond" w:hAnsi="Garamond"/>
          <w:i/>
          <w:sz w:val="24"/>
          <w:szCs w:val="24"/>
        </w:rPr>
        <w:t>Persuasione come azione e potere</w:t>
      </w:r>
    </w:p>
    <w:p w:rsidR="00253881" w:rsidRDefault="003A685A" w:rsidP="006C0D1C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Nella prima delle due lezioni</w:t>
      </w:r>
      <w:r w:rsidR="006D566B">
        <w:rPr>
          <w:rFonts w:ascii="Garamond" w:hAnsi="Garamond"/>
          <w:sz w:val="24"/>
          <w:szCs w:val="24"/>
        </w:rPr>
        <w:t xml:space="preserve"> della prof.</w:t>
      </w:r>
      <w:r w:rsidR="007503E3" w:rsidRPr="00134CF5">
        <w:rPr>
          <w:rFonts w:ascii="Garamond" w:hAnsi="Garamond"/>
          <w:sz w:val="24"/>
          <w:szCs w:val="24"/>
        </w:rPr>
        <w:t xml:space="preserve">ssa </w:t>
      </w:r>
      <w:proofErr w:type="gramStart"/>
      <w:r w:rsidR="007503E3" w:rsidRPr="00134CF5">
        <w:rPr>
          <w:rFonts w:ascii="Garamond" w:hAnsi="Garamond"/>
          <w:sz w:val="24"/>
          <w:szCs w:val="24"/>
        </w:rPr>
        <w:t>Li</w:t>
      </w:r>
      <w:proofErr w:type="gramEnd"/>
      <w:r w:rsidR="007503E3" w:rsidRPr="00134CF5">
        <w:rPr>
          <w:rFonts w:ascii="Garamond" w:hAnsi="Garamond"/>
          <w:sz w:val="24"/>
          <w:szCs w:val="24"/>
        </w:rPr>
        <w:t xml:space="preserve"> Vigni, finalizzata a </w:t>
      </w:r>
      <w:r w:rsidR="00583D64">
        <w:rPr>
          <w:rFonts w:ascii="Garamond" w:hAnsi="Garamond"/>
          <w:sz w:val="24"/>
          <w:szCs w:val="24"/>
        </w:rPr>
        <w:t>indagare l’universo concettuale della persuasione ne</w:t>
      </w:r>
      <w:r w:rsidR="007A3BCE">
        <w:rPr>
          <w:rFonts w:ascii="Garamond" w:hAnsi="Garamond"/>
          <w:sz w:val="24"/>
          <w:szCs w:val="24"/>
        </w:rPr>
        <w:t>ll’</w:t>
      </w:r>
      <w:r w:rsidR="007A3BCE" w:rsidRPr="0006278C">
        <w:rPr>
          <w:rFonts w:ascii="Garamond" w:hAnsi="Garamond"/>
          <w:i/>
          <w:sz w:val="24"/>
          <w:szCs w:val="24"/>
        </w:rPr>
        <w:t>Iliade</w:t>
      </w:r>
      <w:r w:rsidR="007A3BCE">
        <w:rPr>
          <w:rFonts w:ascii="Garamond" w:hAnsi="Garamond"/>
          <w:sz w:val="24"/>
          <w:szCs w:val="24"/>
        </w:rPr>
        <w:t xml:space="preserve">, </w:t>
      </w:r>
      <w:r w:rsidR="006D566B">
        <w:rPr>
          <w:rFonts w:ascii="Garamond" w:hAnsi="Garamond"/>
          <w:sz w:val="24"/>
          <w:szCs w:val="24"/>
        </w:rPr>
        <w:t xml:space="preserve">l’idea di persuasione come azione </w:t>
      </w:r>
      <w:r w:rsidR="00C4780F">
        <w:rPr>
          <w:rFonts w:ascii="Garamond" w:hAnsi="Garamond"/>
          <w:sz w:val="24"/>
          <w:szCs w:val="24"/>
        </w:rPr>
        <w:t>costituisce</w:t>
      </w:r>
      <w:r w:rsidR="006D566B">
        <w:rPr>
          <w:rFonts w:ascii="Garamond" w:hAnsi="Garamond"/>
          <w:sz w:val="24"/>
          <w:szCs w:val="24"/>
        </w:rPr>
        <w:t xml:space="preserve"> </w:t>
      </w:r>
      <w:r w:rsidR="00C972AA">
        <w:rPr>
          <w:rFonts w:ascii="Garamond" w:hAnsi="Garamond"/>
          <w:sz w:val="24"/>
          <w:szCs w:val="24"/>
        </w:rPr>
        <w:t xml:space="preserve">un </w:t>
      </w:r>
      <w:r w:rsidR="006D566B">
        <w:rPr>
          <w:rFonts w:ascii="Garamond" w:hAnsi="Garamond"/>
          <w:sz w:val="24"/>
          <w:szCs w:val="24"/>
        </w:rPr>
        <w:t xml:space="preserve">elemento </w:t>
      </w:r>
      <w:r>
        <w:rPr>
          <w:rFonts w:ascii="Garamond" w:hAnsi="Garamond"/>
          <w:sz w:val="24"/>
          <w:szCs w:val="24"/>
        </w:rPr>
        <w:t xml:space="preserve">chiave. Se il poema omerico è </w:t>
      </w:r>
      <w:r w:rsidR="00BC73C2" w:rsidRPr="00134CF5">
        <w:rPr>
          <w:rFonts w:ascii="Garamond" w:hAnsi="Garamond"/>
          <w:sz w:val="24"/>
          <w:szCs w:val="24"/>
        </w:rPr>
        <w:t>«</w:t>
      </w:r>
      <w:r>
        <w:rPr>
          <w:rFonts w:ascii="Garamond" w:hAnsi="Garamond"/>
          <w:sz w:val="24"/>
          <w:szCs w:val="24"/>
        </w:rPr>
        <w:t xml:space="preserve">poema </w:t>
      </w:r>
      <w:r w:rsidR="007503E3" w:rsidRPr="00134CF5">
        <w:rPr>
          <w:rFonts w:ascii="Garamond" w:hAnsi="Garamond"/>
          <w:sz w:val="24"/>
          <w:szCs w:val="24"/>
        </w:rPr>
        <w:t>di battaglie e di discorsi»</w:t>
      </w:r>
      <w:r>
        <w:rPr>
          <w:rFonts w:ascii="Garamond" w:hAnsi="Garamond"/>
          <w:sz w:val="24"/>
          <w:szCs w:val="24"/>
        </w:rPr>
        <w:t>, è perché</w:t>
      </w:r>
      <w:r w:rsidR="0024090B" w:rsidRPr="00134CF5">
        <w:rPr>
          <w:rFonts w:ascii="Garamond" w:hAnsi="Garamond"/>
          <w:sz w:val="24"/>
          <w:szCs w:val="24"/>
        </w:rPr>
        <w:t xml:space="preserve"> tanto le parole quanto le opere, </w:t>
      </w:r>
      <w:r w:rsidR="00A66811">
        <w:rPr>
          <w:rFonts w:ascii="Garamond" w:hAnsi="Garamond"/>
          <w:sz w:val="24"/>
          <w:szCs w:val="24"/>
        </w:rPr>
        <w:t>come osserva</w:t>
      </w:r>
      <w:r w:rsidR="0024090B" w:rsidRPr="00134CF5">
        <w:rPr>
          <w:rFonts w:ascii="Garamond" w:hAnsi="Garamond"/>
          <w:sz w:val="24"/>
          <w:szCs w:val="24"/>
        </w:rPr>
        <w:t xml:space="preserve"> </w:t>
      </w:r>
      <w:proofErr w:type="gramStart"/>
      <w:r w:rsidR="0024090B" w:rsidRPr="00134CF5">
        <w:rPr>
          <w:rFonts w:ascii="Garamond" w:hAnsi="Garamond"/>
          <w:sz w:val="24"/>
          <w:szCs w:val="24"/>
        </w:rPr>
        <w:t>Li</w:t>
      </w:r>
      <w:proofErr w:type="gramEnd"/>
      <w:r w:rsidR="0024090B" w:rsidRPr="00134CF5">
        <w:rPr>
          <w:rFonts w:ascii="Garamond" w:hAnsi="Garamond"/>
          <w:sz w:val="24"/>
          <w:szCs w:val="24"/>
        </w:rPr>
        <w:t xml:space="preserve"> Vigni, costituiscono forme dell’agire.</w:t>
      </w:r>
      <w:r w:rsidR="005E04B9">
        <w:rPr>
          <w:rFonts w:ascii="Garamond" w:hAnsi="Garamond"/>
          <w:sz w:val="24"/>
          <w:szCs w:val="24"/>
        </w:rPr>
        <w:t xml:space="preserve"> </w:t>
      </w:r>
    </w:p>
    <w:p w:rsidR="00B906F2" w:rsidRDefault="00C50C8E" w:rsidP="006C0D1C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riprova del nesso decisivo </w:t>
      </w:r>
      <w:r w:rsidR="007C4205">
        <w:rPr>
          <w:rFonts w:ascii="Garamond" w:hAnsi="Garamond"/>
          <w:sz w:val="24"/>
          <w:szCs w:val="24"/>
        </w:rPr>
        <w:t>del</w:t>
      </w:r>
      <w:r>
        <w:rPr>
          <w:rFonts w:ascii="Garamond" w:hAnsi="Garamond"/>
          <w:sz w:val="24"/>
          <w:szCs w:val="24"/>
        </w:rPr>
        <w:t xml:space="preserve">l’azione </w:t>
      </w:r>
      <w:r w:rsidR="007C4205">
        <w:rPr>
          <w:rFonts w:ascii="Garamond" w:hAnsi="Garamond"/>
          <w:sz w:val="24"/>
          <w:szCs w:val="24"/>
        </w:rPr>
        <w:t>con</w:t>
      </w:r>
      <w:r>
        <w:rPr>
          <w:rFonts w:ascii="Garamond" w:hAnsi="Garamond"/>
          <w:sz w:val="24"/>
          <w:szCs w:val="24"/>
        </w:rPr>
        <w:t xml:space="preserve"> il discorso persuasivo, </w:t>
      </w:r>
      <w:r w:rsidR="00A66811">
        <w:rPr>
          <w:rFonts w:ascii="Garamond" w:hAnsi="Garamond"/>
          <w:sz w:val="24"/>
          <w:szCs w:val="24"/>
        </w:rPr>
        <w:t>voglio ricordare</w:t>
      </w:r>
      <w:r>
        <w:rPr>
          <w:rFonts w:ascii="Garamond" w:hAnsi="Garamond"/>
          <w:sz w:val="24"/>
          <w:szCs w:val="24"/>
        </w:rPr>
        <w:t xml:space="preserve"> che lo stesso </w:t>
      </w:r>
      <w:proofErr w:type="spellStart"/>
      <w:r w:rsidR="003B2FD0">
        <w:rPr>
          <w:rFonts w:ascii="Garamond" w:hAnsi="Garamond"/>
          <w:sz w:val="24"/>
          <w:szCs w:val="24"/>
        </w:rPr>
        <w:t>Chaïm</w:t>
      </w:r>
      <w:proofErr w:type="spellEnd"/>
      <w:r w:rsidR="003B2FD0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Perelman</w:t>
      </w:r>
      <w:proofErr w:type="spellEnd"/>
      <w:r>
        <w:rPr>
          <w:rFonts w:ascii="Garamond" w:hAnsi="Garamond"/>
          <w:sz w:val="24"/>
          <w:szCs w:val="24"/>
        </w:rPr>
        <w:t xml:space="preserve"> ha definito la persuasione come </w:t>
      </w:r>
      <w:proofErr w:type="gramStart"/>
      <w:r>
        <w:rPr>
          <w:rFonts w:ascii="Garamond" w:hAnsi="Garamond"/>
          <w:sz w:val="24"/>
          <w:szCs w:val="24"/>
        </w:rPr>
        <w:t>«</w:t>
      </w:r>
      <w:proofErr w:type="gramEnd"/>
      <w:r>
        <w:rPr>
          <w:rFonts w:ascii="Garamond" w:hAnsi="Garamond"/>
          <w:sz w:val="24"/>
          <w:szCs w:val="24"/>
        </w:rPr>
        <w:t xml:space="preserve">la </w:t>
      </w:r>
      <w:r w:rsidRPr="00C50C8E">
        <w:rPr>
          <w:rFonts w:ascii="Garamond" w:hAnsi="Garamond"/>
          <w:i/>
          <w:sz w:val="24"/>
          <w:szCs w:val="24"/>
        </w:rPr>
        <w:t>tecnica</w:t>
      </w:r>
      <w:r>
        <w:rPr>
          <w:rFonts w:ascii="Garamond" w:hAnsi="Garamond"/>
          <w:sz w:val="24"/>
          <w:szCs w:val="24"/>
        </w:rPr>
        <w:t xml:space="preserve"> per eccellenza, quella di agire sugli altri uomini mediante il </w:t>
      </w:r>
      <w:r w:rsidRPr="00C50C8E">
        <w:rPr>
          <w:rFonts w:ascii="Garamond" w:hAnsi="Garamond"/>
          <w:i/>
          <w:sz w:val="24"/>
          <w:szCs w:val="24"/>
        </w:rPr>
        <w:t>logos</w:t>
      </w:r>
      <w:r>
        <w:rPr>
          <w:rFonts w:ascii="Garamond" w:hAnsi="Garamond"/>
          <w:sz w:val="24"/>
          <w:szCs w:val="24"/>
        </w:rPr>
        <w:t>»</w:t>
      </w:r>
      <w:r>
        <w:rPr>
          <w:rStyle w:val="FootnoteReference"/>
          <w:rFonts w:ascii="Garamond" w:hAnsi="Garamond"/>
          <w:sz w:val="24"/>
          <w:szCs w:val="24"/>
        </w:rPr>
        <w:footnoteReference w:id="1"/>
      </w:r>
      <w:r>
        <w:rPr>
          <w:rFonts w:ascii="Garamond" w:hAnsi="Garamond"/>
          <w:sz w:val="24"/>
          <w:szCs w:val="24"/>
        </w:rPr>
        <w:t xml:space="preserve">. </w:t>
      </w:r>
      <w:r w:rsidR="008B1688">
        <w:rPr>
          <w:rFonts w:ascii="Garamond" w:hAnsi="Garamond"/>
          <w:sz w:val="24"/>
          <w:szCs w:val="24"/>
        </w:rPr>
        <w:t xml:space="preserve">La persuasione non è azione </w:t>
      </w:r>
      <w:proofErr w:type="spellStart"/>
      <w:r w:rsidR="008B1688">
        <w:rPr>
          <w:rFonts w:ascii="Garamond" w:hAnsi="Garamond"/>
          <w:sz w:val="24"/>
          <w:szCs w:val="24"/>
        </w:rPr>
        <w:t>autorif</w:t>
      </w:r>
      <w:r w:rsidR="00A66811">
        <w:rPr>
          <w:rFonts w:ascii="Garamond" w:hAnsi="Garamond"/>
          <w:sz w:val="24"/>
          <w:szCs w:val="24"/>
        </w:rPr>
        <w:t>erita</w:t>
      </w:r>
      <w:proofErr w:type="spellEnd"/>
      <w:r w:rsidR="00A66811">
        <w:rPr>
          <w:rFonts w:ascii="Garamond" w:hAnsi="Garamond"/>
          <w:sz w:val="24"/>
          <w:szCs w:val="24"/>
        </w:rPr>
        <w:t>, essa agisce sugli altri –</w:t>
      </w:r>
      <w:r w:rsidR="00D869BF">
        <w:rPr>
          <w:rFonts w:ascii="Garamond" w:hAnsi="Garamond"/>
          <w:sz w:val="24"/>
          <w:szCs w:val="24"/>
        </w:rPr>
        <w:t xml:space="preserve"> </w:t>
      </w:r>
      <w:r w:rsidR="007C4205">
        <w:rPr>
          <w:rFonts w:ascii="Garamond" w:hAnsi="Garamond"/>
          <w:sz w:val="24"/>
          <w:szCs w:val="24"/>
        </w:rPr>
        <w:t>si tratta</w:t>
      </w:r>
      <w:proofErr w:type="gramStart"/>
      <w:r w:rsidR="00C4780F">
        <w:rPr>
          <w:rFonts w:ascii="Garamond" w:hAnsi="Garamond"/>
          <w:sz w:val="24"/>
          <w:szCs w:val="24"/>
        </w:rPr>
        <w:t xml:space="preserve"> </w:t>
      </w:r>
      <w:r w:rsidR="00253881">
        <w:rPr>
          <w:rFonts w:ascii="Garamond" w:hAnsi="Garamond"/>
          <w:sz w:val="24"/>
          <w:szCs w:val="24"/>
        </w:rPr>
        <w:t>infatti</w:t>
      </w:r>
      <w:proofErr w:type="gramEnd"/>
      <w:r w:rsidR="007C4205">
        <w:rPr>
          <w:rFonts w:ascii="Garamond" w:hAnsi="Garamond"/>
          <w:sz w:val="24"/>
          <w:szCs w:val="24"/>
        </w:rPr>
        <w:t xml:space="preserve"> di</w:t>
      </w:r>
      <w:r w:rsidR="00253881">
        <w:rPr>
          <w:rFonts w:ascii="Garamond" w:hAnsi="Garamond"/>
          <w:sz w:val="24"/>
          <w:szCs w:val="24"/>
        </w:rPr>
        <w:t xml:space="preserve"> </w:t>
      </w:r>
      <w:r w:rsidR="005E04B9">
        <w:rPr>
          <w:rFonts w:ascii="Garamond" w:hAnsi="Garamond"/>
          <w:sz w:val="24"/>
          <w:szCs w:val="24"/>
        </w:rPr>
        <w:t>un conce</w:t>
      </w:r>
      <w:r w:rsidR="00C4780F">
        <w:rPr>
          <w:rFonts w:ascii="Garamond" w:hAnsi="Garamond"/>
          <w:sz w:val="24"/>
          <w:szCs w:val="24"/>
        </w:rPr>
        <w:t>tto intrinsecamente relazionale:</w:t>
      </w:r>
      <w:r w:rsidR="00432EE2">
        <w:rPr>
          <w:rFonts w:ascii="Garamond" w:hAnsi="Garamond"/>
          <w:sz w:val="24"/>
          <w:szCs w:val="24"/>
        </w:rPr>
        <w:t xml:space="preserve"> </w:t>
      </w:r>
      <w:proofErr w:type="spellStart"/>
      <w:r w:rsidR="00432EE2">
        <w:rPr>
          <w:rFonts w:ascii="Garamond" w:hAnsi="Garamond"/>
          <w:sz w:val="24"/>
          <w:szCs w:val="24"/>
        </w:rPr>
        <w:t>ammenoché</w:t>
      </w:r>
      <w:proofErr w:type="spellEnd"/>
      <w:r w:rsidR="00432EE2">
        <w:rPr>
          <w:rFonts w:ascii="Garamond" w:hAnsi="Garamond"/>
          <w:sz w:val="24"/>
          <w:szCs w:val="24"/>
        </w:rPr>
        <w:t xml:space="preserve"> non ci si riferisca alla persuasione di se stessi,</w:t>
      </w:r>
      <w:r w:rsidR="00C4780F">
        <w:rPr>
          <w:rFonts w:ascii="Garamond" w:hAnsi="Garamond"/>
          <w:sz w:val="24"/>
          <w:szCs w:val="24"/>
        </w:rPr>
        <w:t xml:space="preserve"> s</w:t>
      </w:r>
      <w:r w:rsidR="005E04B9">
        <w:rPr>
          <w:rFonts w:ascii="Garamond" w:hAnsi="Garamond"/>
          <w:sz w:val="24"/>
          <w:szCs w:val="24"/>
        </w:rPr>
        <w:t>i rico</w:t>
      </w:r>
      <w:r w:rsidR="008B1688">
        <w:rPr>
          <w:rFonts w:ascii="Garamond" w:hAnsi="Garamond"/>
          <w:sz w:val="24"/>
          <w:szCs w:val="24"/>
        </w:rPr>
        <w:t xml:space="preserve">rre a tale forma </w:t>
      </w:r>
      <w:r w:rsidR="007C4205">
        <w:rPr>
          <w:rFonts w:ascii="Garamond" w:hAnsi="Garamond"/>
          <w:sz w:val="24"/>
          <w:szCs w:val="24"/>
        </w:rPr>
        <w:t>di discorso</w:t>
      </w:r>
      <w:r w:rsidR="008B1688">
        <w:rPr>
          <w:rFonts w:ascii="Garamond" w:hAnsi="Garamond"/>
          <w:sz w:val="24"/>
          <w:szCs w:val="24"/>
        </w:rPr>
        <w:t xml:space="preserve"> </w:t>
      </w:r>
      <w:r w:rsidR="005E04B9">
        <w:rPr>
          <w:rFonts w:ascii="Garamond" w:hAnsi="Garamond"/>
          <w:sz w:val="24"/>
          <w:szCs w:val="24"/>
        </w:rPr>
        <w:t xml:space="preserve">per produrre </w:t>
      </w:r>
      <w:r w:rsidR="002E7380">
        <w:rPr>
          <w:rFonts w:ascii="Garamond" w:hAnsi="Garamond"/>
          <w:sz w:val="24"/>
          <w:szCs w:val="24"/>
        </w:rPr>
        <w:t xml:space="preserve">degli </w:t>
      </w:r>
      <w:r w:rsidR="005E04B9">
        <w:rPr>
          <w:rFonts w:ascii="Garamond" w:hAnsi="Garamond"/>
          <w:sz w:val="24"/>
          <w:szCs w:val="24"/>
        </w:rPr>
        <w:t xml:space="preserve">effetti sul prossimo. Curiosamente, </w:t>
      </w:r>
      <w:r w:rsidR="00A66811">
        <w:rPr>
          <w:rFonts w:ascii="Garamond" w:hAnsi="Garamond"/>
          <w:sz w:val="24"/>
          <w:szCs w:val="24"/>
        </w:rPr>
        <w:t xml:space="preserve">mi accorgo che </w:t>
      </w:r>
      <w:r w:rsidR="005E04B9">
        <w:rPr>
          <w:rFonts w:ascii="Garamond" w:hAnsi="Garamond"/>
          <w:sz w:val="24"/>
          <w:szCs w:val="24"/>
        </w:rPr>
        <w:t xml:space="preserve">questa definizione </w:t>
      </w:r>
      <w:r w:rsidR="002D6AA1">
        <w:rPr>
          <w:rFonts w:ascii="Garamond" w:hAnsi="Garamond"/>
          <w:sz w:val="24"/>
          <w:szCs w:val="24"/>
        </w:rPr>
        <w:t xml:space="preserve">di persuasione </w:t>
      </w:r>
      <w:r w:rsidR="005E04B9">
        <w:rPr>
          <w:rFonts w:ascii="Garamond" w:hAnsi="Garamond"/>
          <w:sz w:val="24"/>
          <w:szCs w:val="24"/>
        </w:rPr>
        <w:t xml:space="preserve">somiglia molto alla </w:t>
      </w:r>
      <w:proofErr w:type="gramStart"/>
      <w:r w:rsidR="005E04B9">
        <w:rPr>
          <w:rFonts w:ascii="Garamond" w:hAnsi="Garamond"/>
          <w:sz w:val="24"/>
          <w:szCs w:val="24"/>
        </w:rPr>
        <w:t>definizione</w:t>
      </w:r>
      <w:proofErr w:type="gramEnd"/>
      <w:r w:rsidR="005E04B9">
        <w:rPr>
          <w:rFonts w:ascii="Garamond" w:hAnsi="Garamond"/>
          <w:sz w:val="24"/>
          <w:szCs w:val="24"/>
        </w:rPr>
        <w:t xml:space="preserve"> comunemente accettata di potere</w:t>
      </w:r>
      <w:r w:rsidR="0032031C">
        <w:rPr>
          <w:rFonts w:ascii="Garamond" w:hAnsi="Garamond"/>
          <w:sz w:val="24"/>
          <w:szCs w:val="24"/>
        </w:rPr>
        <w:t>,</w:t>
      </w:r>
      <w:r w:rsidR="00415CEF">
        <w:rPr>
          <w:rFonts w:ascii="Garamond" w:hAnsi="Garamond"/>
          <w:sz w:val="24"/>
          <w:szCs w:val="24"/>
        </w:rPr>
        <w:t xml:space="preserve"> </w:t>
      </w:r>
      <w:r w:rsidR="005E04B9">
        <w:rPr>
          <w:rFonts w:ascii="Garamond" w:hAnsi="Garamond"/>
          <w:sz w:val="24"/>
          <w:szCs w:val="24"/>
        </w:rPr>
        <w:t xml:space="preserve">come capacità di influenzare gli altri. Presupponendo il venir meno della forza fisica, </w:t>
      </w:r>
      <w:r w:rsidR="00D869BF">
        <w:rPr>
          <w:rFonts w:ascii="Garamond" w:hAnsi="Garamond"/>
          <w:sz w:val="24"/>
          <w:szCs w:val="24"/>
        </w:rPr>
        <w:t>la persuasione</w:t>
      </w:r>
      <w:r w:rsidR="005E04B9">
        <w:rPr>
          <w:rFonts w:ascii="Garamond" w:hAnsi="Garamond"/>
          <w:sz w:val="24"/>
          <w:szCs w:val="24"/>
        </w:rPr>
        <w:t xml:space="preserve"> è</w:t>
      </w:r>
      <w:proofErr w:type="gramStart"/>
      <w:r w:rsidR="005E04B9">
        <w:rPr>
          <w:rFonts w:ascii="Garamond" w:hAnsi="Garamond"/>
          <w:sz w:val="24"/>
          <w:szCs w:val="24"/>
        </w:rPr>
        <w:t xml:space="preserve"> </w:t>
      </w:r>
      <w:r w:rsidR="005D6FB0">
        <w:rPr>
          <w:rFonts w:ascii="Garamond" w:hAnsi="Garamond"/>
          <w:sz w:val="24"/>
          <w:szCs w:val="24"/>
        </w:rPr>
        <w:t>infatti</w:t>
      </w:r>
      <w:proofErr w:type="gramEnd"/>
      <w:r w:rsidR="005D6FB0">
        <w:rPr>
          <w:rFonts w:ascii="Garamond" w:hAnsi="Garamond"/>
          <w:sz w:val="24"/>
          <w:szCs w:val="24"/>
        </w:rPr>
        <w:t xml:space="preserve"> </w:t>
      </w:r>
      <w:r w:rsidR="005E04B9">
        <w:rPr>
          <w:rFonts w:ascii="Garamond" w:hAnsi="Garamond"/>
          <w:sz w:val="24"/>
          <w:szCs w:val="24"/>
        </w:rPr>
        <w:t>descrivibile come una sorta di dislocazione della forza</w:t>
      </w:r>
      <w:r w:rsidR="005E04B9" w:rsidRPr="00656D15">
        <w:rPr>
          <w:rFonts w:ascii="Garamond" w:hAnsi="Garamond"/>
          <w:sz w:val="24"/>
          <w:szCs w:val="24"/>
        </w:rPr>
        <w:t xml:space="preserve"> </w:t>
      </w:r>
      <w:r w:rsidR="005E04B9">
        <w:rPr>
          <w:rFonts w:ascii="Garamond" w:hAnsi="Garamond"/>
          <w:sz w:val="24"/>
          <w:szCs w:val="24"/>
        </w:rPr>
        <w:t xml:space="preserve">sul piano discorsivo. </w:t>
      </w:r>
      <w:r w:rsidR="00A66811">
        <w:rPr>
          <w:rFonts w:ascii="Garamond" w:hAnsi="Garamond"/>
          <w:sz w:val="24"/>
          <w:szCs w:val="24"/>
        </w:rPr>
        <w:t>A</w:t>
      </w:r>
      <w:r w:rsidR="005E04B9">
        <w:rPr>
          <w:rFonts w:ascii="Garamond" w:hAnsi="Garamond"/>
          <w:sz w:val="24"/>
          <w:szCs w:val="24"/>
        </w:rPr>
        <w:t xml:space="preserve">ncora oggi, nella logica, in </w:t>
      </w:r>
      <w:proofErr w:type="gramStart"/>
      <w:r w:rsidR="005E04B9">
        <w:rPr>
          <w:rFonts w:ascii="Garamond" w:hAnsi="Garamond"/>
          <w:sz w:val="24"/>
          <w:szCs w:val="24"/>
        </w:rPr>
        <w:t>contesto</w:t>
      </w:r>
      <w:proofErr w:type="gramEnd"/>
      <w:r w:rsidR="005E04B9">
        <w:rPr>
          <w:rFonts w:ascii="Garamond" w:hAnsi="Garamond"/>
          <w:sz w:val="24"/>
          <w:szCs w:val="24"/>
        </w:rPr>
        <w:t xml:space="preserve"> molto diverso, </w:t>
      </w:r>
      <w:r w:rsidR="005D6FB0">
        <w:rPr>
          <w:rFonts w:ascii="Garamond" w:hAnsi="Garamond"/>
          <w:sz w:val="24"/>
          <w:szCs w:val="24"/>
        </w:rPr>
        <w:t xml:space="preserve">quando si parla di “forza degli argomenti” </w:t>
      </w:r>
      <w:r w:rsidR="005E04B9">
        <w:rPr>
          <w:rFonts w:ascii="Garamond" w:hAnsi="Garamond"/>
          <w:sz w:val="24"/>
          <w:szCs w:val="24"/>
        </w:rPr>
        <w:t>si ricorre a campo semantico affine</w:t>
      </w:r>
      <w:r w:rsidR="007C4205">
        <w:rPr>
          <w:rFonts w:ascii="Garamond" w:hAnsi="Garamond"/>
          <w:sz w:val="24"/>
          <w:szCs w:val="24"/>
        </w:rPr>
        <w:t>.</w:t>
      </w:r>
      <w:r w:rsidR="00415CEF">
        <w:rPr>
          <w:rFonts w:ascii="Garamond" w:hAnsi="Garamond"/>
          <w:sz w:val="24"/>
          <w:szCs w:val="24"/>
        </w:rPr>
        <w:t xml:space="preserve"> </w:t>
      </w:r>
      <w:r w:rsidR="007C4205">
        <w:rPr>
          <w:rFonts w:ascii="Garamond" w:hAnsi="Garamond"/>
          <w:sz w:val="24"/>
          <w:szCs w:val="24"/>
        </w:rPr>
        <w:t>L</w:t>
      </w:r>
      <w:r w:rsidR="005E04B9">
        <w:rPr>
          <w:rFonts w:ascii="Garamond" w:hAnsi="Garamond"/>
          <w:sz w:val="24"/>
          <w:szCs w:val="24"/>
        </w:rPr>
        <w:t>a persuasione, come la forza, presenta cara</w:t>
      </w:r>
      <w:r w:rsidR="00415CEF">
        <w:rPr>
          <w:rFonts w:ascii="Garamond" w:hAnsi="Garamond"/>
          <w:sz w:val="24"/>
          <w:szCs w:val="24"/>
        </w:rPr>
        <w:t xml:space="preserve">tteri costrittivi e trascinanti, </w:t>
      </w:r>
      <w:proofErr w:type="gramStart"/>
      <w:r w:rsidR="00415CEF">
        <w:rPr>
          <w:rFonts w:ascii="Garamond" w:hAnsi="Garamond"/>
          <w:sz w:val="24"/>
          <w:szCs w:val="24"/>
        </w:rPr>
        <w:t>nel</w:t>
      </w:r>
      <w:proofErr w:type="gramEnd"/>
      <w:r w:rsidR="00415CEF">
        <w:rPr>
          <w:rFonts w:ascii="Garamond" w:hAnsi="Garamond"/>
          <w:sz w:val="24"/>
          <w:szCs w:val="24"/>
        </w:rPr>
        <w:t xml:space="preserve"> </w:t>
      </w:r>
      <w:proofErr w:type="gramStart"/>
      <w:r w:rsidR="00415CEF">
        <w:rPr>
          <w:rFonts w:ascii="Garamond" w:hAnsi="Garamond"/>
          <w:sz w:val="24"/>
          <w:szCs w:val="24"/>
        </w:rPr>
        <w:t>descriverla</w:t>
      </w:r>
      <w:proofErr w:type="gramEnd"/>
      <w:r w:rsidR="00415CEF">
        <w:rPr>
          <w:rFonts w:ascii="Garamond" w:hAnsi="Garamond"/>
          <w:sz w:val="24"/>
          <w:szCs w:val="24"/>
        </w:rPr>
        <w:t xml:space="preserve"> </w:t>
      </w:r>
      <w:r w:rsidR="005E04B9">
        <w:rPr>
          <w:rFonts w:ascii="Garamond" w:hAnsi="Garamond"/>
          <w:sz w:val="24"/>
          <w:szCs w:val="24"/>
        </w:rPr>
        <w:t>si po</w:t>
      </w:r>
      <w:r w:rsidR="008B1688">
        <w:rPr>
          <w:rFonts w:ascii="Garamond" w:hAnsi="Garamond"/>
          <w:sz w:val="24"/>
          <w:szCs w:val="24"/>
        </w:rPr>
        <w:t xml:space="preserve">ne l’accento sulla difficoltà di </w:t>
      </w:r>
      <w:r w:rsidR="005E04B9">
        <w:rPr>
          <w:rFonts w:ascii="Garamond" w:hAnsi="Garamond"/>
          <w:sz w:val="24"/>
          <w:szCs w:val="24"/>
        </w:rPr>
        <w:t xml:space="preserve">opporle resistenza. Tuttavia, proprio come il potere, che per funzionare richiede sempre una qualche forma di consenso da parte di coloro che vi sono soggetti, anche la persuasione non può </w:t>
      </w:r>
      <w:r w:rsidR="007A3BCE">
        <w:rPr>
          <w:rFonts w:ascii="Garamond" w:hAnsi="Garamond"/>
          <w:sz w:val="24"/>
          <w:szCs w:val="24"/>
        </w:rPr>
        <w:t>esaurirsi nell’aspetto costrittivo, ma richiede una qualche partecipazione,</w:t>
      </w:r>
      <w:r w:rsidR="00285B4A">
        <w:rPr>
          <w:rFonts w:ascii="Garamond" w:hAnsi="Garamond"/>
          <w:sz w:val="24"/>
          <w:szCs w:val="24"/>
        </w:rPr>
        <w:t xml:space="preserve"> una forma di assenso</w:t>
      </w:r>
      <w:r w:rsidR="00955DED">
        <w:rPr>
          <w:rFonts w:ascii="Garamond" w:hAnsi="Garamond"/>
          <w:sz w:val="24"/>
          <w:szCs w:val="24"/>
        </w:rPr>
        <w:t xml:space="preserve"> da parte dei destinatari</w:t>
      </w:r>
      <w:r w:rsidR="008B1688">
        <w:rPr>
          <w:rFonts w:ascii="Garamond" w:hAnsi="Garamond"/>
          <w:sz w:val="24"/>
          <w:szCs w:val="24"/>
        </w:rPr>
        <w:t xml:space="preserve"> </w:t>
      </w:r>
      <w:proofErr w:type="gramStart"/>
      <w:r w:rsidR="008B1688">
        <w:rPr>
          <w:rFonts w:ascii="Garamond" w:hAnsi="Garamond"/>
          <w:sz w:val="24"/>
          <w:szCs w:val="24"/>
        </w:rPr>
        <w:t>del</w:t>
      </w:r>
      <w:proofErr w:type="gramEnd"/>
      <w:r w:rsidR="008B1688">
        <w:rPr>
          <w:rFonts w:ascii="Garamond" w:hAnsi="Garamond"/>
          <w:sz w:val="24"/>
          <w:szCs w:val="24"/>
        </w:rPr>
        <w:t xml:space="preserve"> discorso</w:t>
      </w:r>
      <w:r w:rsidR="00285B4A">
        <w:rPr>
          <w:rFonts w:ascii="Garamond" w:hAnsi="Garamond"/>
          <w:sz w:val="24"/>
          <w:szCs w:val="24"/>
        </w:rPr>
        <w:t xml:space="preserve">. </w:t>
      </w:r>
    </w:p>
    <w:p w:rsidR="005E04B9" w:rsidRPr="00DA022B" w:rsidRDefault="007932AD" w:rsidP="005E04B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Accezioni della persuasione: retorica e ragionamento, </w:t>
      </w:r>
      <w:proofErr w:type="gramStart"/>
      <w:r>
        <w:rPr>
          <w:rFonts w:ascii="Garamond" w:hAnsi="Garamond"/>
          <w:i/>
          <w:sz w:val="24"/>
          <w:szCs w:val="24"/>
        </w:rPr>
        <w:t>persuasione</w:t>
      </w:r>
      <w:proofErr w:type="gramEnd"/>
      <w:r>
        <w:rPr>
          <w:rFonts w:ascii="Garamond" w:hAnsi="Garamond"/>
          <w:i/>
          <w:sz w:val="24"/>
          <w:szCs w:val="24"/>
        </w:rPr>
        <w:t xml:space="preserve"> e convinzione</w:t>
      </w:r>
    </w:p>
    <w:p w:rsidR="00491181" w:rsidRDefault="00583D64" w:rsidP="00A12407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Una prima distinzione </w:t>
      </w:r>
      <w:r w:rsidR="00F7313D">
        <w:rPr>
          <w:rFonts w:ascii="Garamond" w:hAnsi="Garamond"/>
          <w:sz w:val="24"/>
          <w:szCs w:val="24"/>
        </w:rPr>
        <w:t xml:space="preserve">nell’universo concettuale della persuasione </w:t>
      </w:r>
      <w:r>
        <w:rPr>
          <w:rFonts w:ascii="Garamond" w:hAnsi="Garamond"/>
          <w:sz w:val="24"/>
          <w:szCs w:val="24"/>
        </w:rPr>
        <w:t xml:space="preserve">riguarda la natura del discorso persuasivo, </w:t>
      </w:r>
      <w:r w:rsidR="00604F8C">
        <w:rPr>
          <w:rFonts w:ascii="Garamond" w:hAnsi="Garamond"/>
          <w:sz w:val="24"/>
          <w:szCs w:val="24"/>
        </w:rPr>
        <w:t>che può caratterizzarsi</w:t>
      </w:r>
      <w:r w:rsidR="00B93265">
        <w:rPr>
          <w:rFonts w:ascii="Garamond" w:hAnsi="Garamond"/>
          <w:sz w:val="24"/>
          <w:szCs w:val="24"/>
        </w:rPr>
        <w:t xml:space="preserve"> come discorso dotato di</w:t>
      </w:r>
      <w:r w:rsidR="00604F8C">
        <w:rPr>
          <w:rFonts w:ascii="Garamond" w:hAnsi="Garamond"/>
          <w:sz w:val="24"/>
          <w:szCs w:val="24"/>
        </w:rPr>
        <w:t xml:space="preserve"> efficacia retorica </w:t>
      </w:r>
      <w:r w:rsidR="00B906F2">
        <w:rPr>
          <w:rFonts w:ascii="Garamond" w:hAnsi="Garamond"/>
          <w:sz w:val="24"/>
          <w:szCs w:val="24"/>
        </w:rPr>
        <w:t xml:space="preserve">(il </w:t>
      </w:r>
      <w:r w:rsidR="008B1688">
        <w:rPr>
          <w:rFonts w:ascii="Garamond" w:hAnsi="Garamond"/>
          <w:sz w:val="24"/>
          <w:szCs w:val="24"/>
        </w:rPr>
        <w:t>«</w:t>
      </w:r>
      <w:r w:rsidR="006C0D1C">
        <w:rPr>
          <w:rFonts w:ascii="Garamond" w:hAnsi="Garamond"/>
          <w:sz w:val="24"/>
          <w:szCs w:val="24"/>
        </w:rPr>
        <w:t>bel</w:t>
      </w:r>
      <w:r w:rsidR="00B906F2">
        <w:rPr>
          <w:rFonts w:ascii="Garamond" w:hAnsi="Garamond"/>
          <w:sz w:val="24"/>
          <w:szCs w:val="24"/>
        </w:rPr>
        <w:t xml:space="preserve"> parlare</w:t>
      </w:r>
      <w:r w:rsidR="008B1688">
        <w:rPr>
          <w:rFonts w:ascii="Garamond" w:hAnsi="Garamond"/>
          <w:sz w:val="24"/>
          <w:szCs w:val="24"/>
        </w:rPr>
        <w:t>»</w:t>
      </w:r>
      <w:r w:rsidR="00B906F2">
        <w:rPr>
          <w:rFonts w:ascii="Garamond" w:hAnsi="Garamond"/>
          <w:sz w:val="24"/>
          <w:szCs w:val="24"/>
        </w:rPr>
        <w:t xml:space="preserve">) </w:t>
      </w:r>
      <w:r w:rsidR="00604F8C">
        <w:rPr>
          <w:rFonts w:ascii="Garamond" w:hAnsi="Garamond"/>
          <w:sz w:val="24"/>
          <w:szCs w:val="24"/>
        </w:rPr>
        <w:t xml:space="preserve">o </w:t>
      </w:r>
      <w:r w:rsidR="0006278C">
        <w:rPr>
          <w:rFonts w:ascii="Garamond" w:hAnsi="Garamond"/>
          <w:sz w:val="24"/>
          <w:szCs w:val="24"/>
        </w:rPr>
        <w:t>come</w:t>
      </w:r>
      <w:proofErr w:type="gramStart"/>
      <w:r w:rsidR="0006278C">
        <w:rPr>
          <w:rFonts w:ascii="Garamond" w:hAnsi="Garamond"/>
          <w:sz w:val="24"/>
          <w:szCs w:val="24"/>
        </w:rPr>
        <w:t xml:space="preserve"> </w:t>
      </w:r>
      <w:r w:rsidR="00F81CA0">
        <w:rPr>
          <w:rFonts w:ascii="Garamond" w:hAnsi="Garamond"/>
          <w:sz w:val="24"/>
          <w:szCs w:val="24"/>
        </w:rPr>
        <w:t xml:space="preserve"> </w:t>
      </w:r>
      <w:proofErr w:type="gramEnd"/>
      <w:r w:rsidR="00604F8C">
        <w:rPr>
          <w:rFonts w:ascii="Garamond" w:hAnsi="Garamond"/>
          <w:sz w:val="24"/>
          <w:szCs w:val="24"/>
        </w:rPr>
        <w:t>ragionamento</w:t>
      </w:r>
      <w:r w:rsidR="00B906F2">
        <w:rPr>
          <w:rFonts w:ascii="Garamond" w:hAnsi="Garamond"/>
          <w:sz w:val="24"/>
          <w:szCs w:val="24"/>
        </w:rPr>
        <w:t xml:space="preserve"> (il </w:t>
      </w:r>
      <w:r w:rsidR="008B1688">
        <w:rPr>
          <w:rFonts w:ascii="Garamond" w:hAnsi="Garamond"/>
          <w:sz w:val="24"/>
          <w:szCs w:val="24"/>
        </w:rPr>
        <w:t>«</w:t>
      </w:r>
      <w:r w:rsidR="00B906F2">
        <w:rPr>
          <w:rFonts w:ascii="Garamond" w:hAnsi="Garamond"/>
          <w:sz w:val="24"/>
          <w:szCs w:val="24"/>
        </w:rPr>
        <w:t>giusto consiglio</w:t>
      </w:r>
      <w:r w:rsidR="008B1688">
        <w:rPr>
          <w:rFonts w:ascii="Garamond" w:hAnsi="Garamond"/>
          <w:sz w:val="24"/>
          <w:szCs w:val="24"/>
        </w:rPr>
        <w:t>»</w:t>
      </w:r>
      <w:r w:rsidR="00B906F2">
        <w:rPr>
          <w:rFonts w:ascii="Garamond" w:hAnsi="Garamond"/>
          <w:sz w:val="24"/>
          <w:szCs w:val="24"/>
        </w:rPr>
        <w:t>)</w:t>
      </w:r>
      <w:r w:rsidR="00C80E7C">
        <w:rPr>
          <w:rFonts w:ascii="Garamond" w:hAnsi="Garamond"/>
          <w:sz w:val="24"/>
          <w:szCs w:val="24"/>
        </w:rPr>
        <w:t>.</w:t>
      </w:r>
      <w:r w:rsidR="00415CEF">
        <w:rPr>
          <w:rFonts w:ascii="Garamond" w:hAnsi="Garamond"/>
          <w:sz w:val="24"/>
          <w:szCs w:val="24"/>
        </w:rPr>
        <w:t xml:space="preserve"> </w:t>
      </w:r>
      <w:r w:rsidR="002E7380">
        <w:rPr>
          <w:rFonts w:ascii="Garamond" w:hAnsi="Garamond"/>
          <w:sz w:val="24"/>
          <w:szCs w:val="24"/>
        </w:rPr>
        <w:t>L</w:t>
      </w:r>
      <w:r>
        <w:rPr>
          <w:rFonts w:ascii="Garamond" w:hAnsi="Garamond"/>
          <w:sz w:val="24"/>
          <w:szCs w:val="24"/>
        </w:rPr>
        <w:t>a prima fa leva sulle emozioni, la seconda sul</w:t>
      </w:r>
      <w:r w:rsidR="0032031C">
        <w:rPr>
          <w:rFonts w:ascii="Garamond" w:hAnsi="Garamond"/>
          <w:sz w:val="24"/>
          <w:szCs w:val="24"/>
        </w:rPr>
        <w:t>la ragione</w:t>
      </w:r>
      <w:r w:rsidR="00C80E7C">
        <w:rPr>
          <w:rFonts w:ascii="Garamond" w:hAnsi="Garamond"/>
          <w:sz w:val="24"/>
          <w:szCs w:val="24"/>
        </w:rPr>
        <w:t>; l</w:t>
      </w:r>
      <w:r w:rsidR="005E04B9">
        <w:rPr>
          <w:rFonts w:ascii="Garamond" w:hAnsi="Garamond"/>
          <w:sz w:val="24"/>
          <w:szCs w:val="24"/>
        </w:rPr>
        <w:t>a prima è la forma tipica del discorso manipolatorio, della demagogia,</w:t>
      </w:r>
      <w:r w:rsidR="00E10B79">
        <w:rPr>
          <w:rFonts w:ascii="Garamond" w:hAnsi="Garamond"/>
          <w:sz w:val="24"/>
          <w:szCs w:val="24"/>
        </w:rPr>
        <w:t xml:space="preserve"> dell’adulazione</w:t>
      </w:r>
      <w:r w:rsidR="0055117E">
        <w:rPr>
          <w:rFonts w:ascii="Garamond" w:hAnsi="Garamond"/>
          <w:sz w:val="24"/>
          <w:szCs w:val="24"/>
        </w:rPr>
        <w:t xml:space="preserve"> (cfr.</w:t>
      </w:r>
      <w:r w:rsidR="0055117E" w:rsidRPr="0055117E">
        <w:rPr>
          <w:rFonts w:ascii="Garamond" w:hAnsi="Garamond"/>
          <w:i/>
          <w:sz w:val="24"/>
          <w:szCs w:val="24"/>
        </w:rPr>
        <w:t xml:space="preserve"> Gorgia</w:t>
      </w:r>
      <w:r w:rsidR="0055117E">
        <w:rPr>
          <w:rFonts w:ascii="Garamond" w:hAnsi="Garamond"/>
          <w:sz w:val="24"/>
          <w:szCs w:val="24"/>
        </w:rPr>
        <w:t xml:space="preserve"> platonico)</w:t>
      </w:r>
      <w:r w:rsidR="00E10B79">
        <w:rPr>
          <w:rFonts w:ascii="Garamond" w:hAnsi="Garamond"/>
          <w:sz w:val="24"/>
          <w:szCs w:val="24"/>
        </w:rPr>
        <w:t>,</w:t>
      </w:r>
      <w:r w:rsidR="005E04B9">
        <w:rPr>
          <w:rFonts w:ascii="Garamond" w:hAnsi="Garamond"/>
          <w:sz w:val="24"/>
          <w:szCs w:val="24"/>
        </w:rPr>
        <w:t xml:space="preserve"> la seconda </w:t>
      </w:r>
      <w:r w:rsidR="00F7313D">
        <w:rPr>
          <w:rFonts w:ascii="Garamond" w:hAnsi="Garamond"/>
          <w:sz w:val="24"/>
          <w:szCs w:val="24"/>
        </w:rPr>
        <w:t>del ragionamento</w:t>
      </w:r>
      <w:r w:rsidR="00F7313D" w:rsidRPr="00F7313D">
        <w:rPr>
          <w:rFonts w:ascii="Garamond" w:hAnsi="Garamond"/>
          <w:sz w:val="24"/>
          <w:szCs w:val="24"/>
        </w:rPr>
        <w:t xml:space="preserve"> </w:t>
      </w:r>
      <w:r w:rsidR="00F7313D">
        <w:rPr>
          <w:rFonts w:ascii="Garamond" w:hAnsi="Garamond"/>
          <w:sz w:val="24"/>
          <w:szCs w:val="24"/>
        </w:rPr>
        <w:t>e della ricerca della verità</w:t>
      </w:r>
      <w:r w:rsidR="00546C65">
        <w:rPr>
          <w:rFonts w:ascii="Garamond" w:hAnsi="Garamond"/>
          <w:sz w:val="24"/>
          <w:szCs w:val="24"/>
        </w:rPr>
        <w:t xml:space="preserve"> (</w:t>
      </w:r>
      <w:r w:rsidR="0032031C">
        <w:rPr>
          <w:rFonts w:ascii="Garamond" w:hAnsi="Garamond"/>
          <w:sz w:val="24"/>
          <w:szCs w:val="24"/>
        </w:rPr>
        <w:t xml:space="preserve">secondo una schematizzazione che probabilmente, così, appare forzata, </w:t>
      </w:r>
      <w:proofErr w:type="gramStart"/>
      <w:r w:rsidR="0032031C">
        <w:rPr>
          <w:rFonts w:ascii="Garamond" w:hAnsi="Garamond"/>
          <w:sz w:val="24"/>
          <w:szCs w:val="24"/>
        </w:rPr>
        <w:t>in quanto</w:t>
      </w:r>
      <w:proofErr w:type="gramEnd"/>
      <w:r w:rsidR="0032031C">
        <w:rPr>
          <w:rFonts w:ascii="Garamond" w:hAnsi="Garamond"/>
          <w:sz w:val="24"/>
          <w:szCs w:val="24"/>
        </w:rPr>
        <w:t xml:space="preserve"> non è sempre pacifico determinare i confini fra le emozioni e la ragione</w:t>
      </w:r>
      <w:r w:rsidR="00546C65">
        <w:rPr>
          <w:rFonts w:ascii="Garamond" w:hAnsi="Garamond"/>
          <w:sz w:val="24"/>
          <w:szCs w:val="24"/>
        </w:rPr>
        <w:t>)</w:t>
      </w:r>
      <w:r w:rsidR="005E04B9">
        <w:rPr>
          <w:rFonts w:ascii="Garamond" w:hAnsi="Garamond"/>
          <w:sz w:val="24"/>
          <w:szCs w:val="24"/>
        </w:rPr>
        <w:t>.</w:t>
      </w:r>
      <w:r w:rsidR="00A12407">
        <w:rPr>
          <w:rFonts w:ascii="Garamond" w:hAnsi="Garamond"/>
          <w:sz w:val="24"/>
          <w:szCs w:val="24"/>
        </w:rPr>
        <w:t xml:space="preserve"> Tali stratificazioni semantiche </w:t>
      </w:r>
      <w:proofErr w:type="gramStart"/>
      <w:r w:rsidR="00A12407">
        <w:rPr>
          <w:rFonts w:ascii="Garamond" w:hAnsi="Garamond"/>
          <w:sz w:val="24"/>
          <w:szCs w:val="24"/>
        </w:rPr>
        <w:t>risultano</w:t>
      </w:r>
      <w:proofErr w:type="gramEnd"/>
      <w:r w:rsidR="00A12407">
        <w:rPr>
          <w:rFonts w:ascii="Garamond" w:hAnsi="Garamond"/>
          <w:sz w:val="24"/>
          <w:szCs w:val="24"/>
        </w:rPr>
        <w:t xml:space="preserve"> </w:t>
      </w:r>
      <w:r w:rsidR="00415CEF">
        <w:rPr>
          <w:rFonts w:ascii="Garamond" w:hAnsi="Garamond"/>
          <w:sz w:val="24"/>
          <w:szCs w:val="24"/>
        </w:rPr>
        <w:t>assimilate</w:t>
      </w:r>
      <w:r w:rsidR="00A12407">
        <w:rPr>
          <w:rFonts w:ascii="Garamond" w:hAnsi="Garamond"/>
          <w:sz w:val="24"/>
          <w:szCs w:val="24"/>
        </w:rPr>
        <w:t xml:space="preserve"> </w:t>
      </w:r>
      <w:r w:rsidR="00D869BF">
        <w:rPr>
          <w:rFonts w:ascii="Garamond" w:hAnsi="Garamond"/>
          <w:sz w:val="24"/>
          <w:szCs w:val="24"/>
        </w:rPr>
        <w:t>da Li Vigni nell’unico termine</w:t>
      </w:r>
      <w:r w:rsidR="00A12407">
        <w:rPr>
          <w:rFonts w:ascii="Garamond" w:hAnsi="Garamond"/>
          <w:sz w:val="24"/>
          <w:szCs w:val="24"/>
        </w:rPr>
        <w:t xml:space="preserve"> di persuasione</w:t>
      </w:r>
      <w:r w:rsidR="003567AA">
        <w:rPr>
          <w:rFonts w:ascii="Garamond" w:hAnsi="Garamond"/>
          <w:sz w:val="24"/>
          <w:szCs w:val="24"/>
        </w:rPr>
        <w:t xml:space="preserve">, </w:t>
      </w:r>
      <w:r w:rsidR="00001725">
        <w:rPr>
          <w:rFonts w:ascii="Garamond" w:hAnsi="Garamond"/>
          <w:sz w:val="24"/>
          <w:szCs w:val="24"/>
        </w:rPr>
        <w:t>tenendone</w:t>
      </w:r>
      <w:r w:rsidR="00B709EB">
        <w:rPr>
          <w:rFonts w:ascii="Garamond" w:hAnsi="Garamond"/>
          <w:sz w:val="24"/>
          <w:szCs w:val="24"/>
        </w:rPr>
        <w:t xml:space="preserve"> </w:t>
      </w:r>
      <w:r w:rsidR="003567AA">
        <w:rPr>
          <w:rFonts w:ascii="Garamond" w:hAnsi="Garamond"/>
          <w:sz w:val="24"/>
          <w:szCs w:val="24"/>
        </w:rPr>
        <w:t>insieme le diverse accezioni</w:t>
      </w:r>
      <w:r w:rsidR="00C43F09">
        <w:rPr>
          <w:rFonts w:ascii="Garamond" w:hAnsi="Garamond"/>
          <w:sz w:val="24"/>
          <w:szCs w:val="24"/>
        </w:rPr>
        <w:t xml:space="preserve">. </w:t>
      </w:r>
    </w:p>
    <w:p w:rsidR="00FA3C00" w:rsidRDefault="00C50C8E" w:rsidP="00A12407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persuasione nell’accezione </w:t>
      </w:r>
      <w:proofErr w:type="gramStart"/>
      <w:r>
        <w:rPr>
          <w:rFonts w:ascii="Garamond" w:hAnsi="Garamond"/>
          <w:sz w:val="24"/>
          <w:szCs w:val="24"/>
        </w:rPr>
        <w:t xml:space="preserve">di </w:t>
      </w:r>
      <w:proofErr w:type="gramEnd"/>
      <w:r>
        <w:rPr>
          <w:rFonts w:ascii="Garamond" w:hAnsi="Garamond"/>
          <w:sz w:val="24"/>
          <w:szCs w:val="24"/>
        </w:rPr>
        <w:t>inganno può essere ricondotta ai sofisti, più interessati a lusingare e compiacere gli ascolta</w:t>
      </w:r>
      <w:r w:rsidR="001D64AB">
        <w:rPr>
          <w:rFonts w:ascii="Garamond" w:hAnsi="Garamond"/>
          <w:sz w:val="24"/>
          <w:szCs w:val="24"/>
        </w:rPr>
        <w:t xml:space="preserve">tori che a </w:t>
      </w:r>
      <w:r w:rsidR="00491181">
        <w:rPr>
          <w:rFonts w:ascii="Garamond" w:hAnsi="Garamond"/>
          <w:sz w:val="24"/>
          <w:szCs w:val="24"/>
        </w:rPr>
        <w:t>trasmettere</w:t>
      </w:r>
      <w:r w:rsidR="001D64AB">
        <w:rPr>
          <w:rFonts w:ascii="Garamond" w:hAnsi="Garamond"/>
          <w:sz w:val="24"/>
          <w:szCs w:val="24"/>
        </w:rPr>
        <w:t xml:space="preserve"> la verità, </w:t>
      </w:r>
      <w:r w:rsidR="00810CBD">
        <w:rPr>
          <w:rFonts w:ascii="Garamond" w:hAnsi="Garamond"/>
          <w:sz w:val="24"/>
          <w:szCs w:val="24"/>
        </w:rPr>
        <w:t>la quale</w:t>
      </w:r>
      <w:r w:rsidR="001D64AB">
        <w:rPr>
          <w:rFonts w:ascii="Garamond" w:hAnsi="Garamond"/>
          <w:sz w:val="24"/>
          <w:szCs w:val="24"/>
        </w:rPr>
        <w:t xml:space="preserve"> sta </w:t>
      </w:r>
      <w:r w:rsidR="00810CBD">
        <w:rPr>
          <w:rFonts w:ascii="Garamond" w:hAnsi="Garamond"/>
          <w:sz w:val="24"/>
          <w:szCs w:val="24"/>
        </w:rPr>
        <w:t xml:space="preserve">invece </w:t>
      </w:r>
      <w:r w:rsidR="001D64AB">
        <w:rPr>
          <w:rFonts w:ascii="Garamond" w:hAnsi="Garamond"/>
          <w:sz w:val="24"/>
          <w:szCs w:val="24"/>
        </w:rPr>
        <w:t>a cuore a Socrate.</w:t>
      </w:r>
      <w:r w:rsidR="00491181">
        <w:rPr>
          <w:rFonts w:ascii="Garamond" w:hAnsi="Garamond"/>
          <w:sz w:val="24"/>
          <w:szCs w:val="24"/>
        </w:rPr>
        <w:t xml:space="preserve"> A tal proposito, voglio ricordare che </w:t>
      </w:r>
      <w:proofErr w:type="spellStart"/>
      <w:r w:rsidR="001D64AB">
        <w:rPr>
          <w:rFonts w:ascii="Garamond" w:hAnsi="Garamond"/>
          <w:sz w:val="24"/>
          <w:szCs w:val="24"/>
        </w:rPr>
        <w:t>Pe</w:t>
      </w:r>
      <w:r w:rsidR="00586706">
        <w:rPr>
          <w:rFonts w:ascii="Garamond" w:hAnsi="Garamond"/>
          <w:sz w:val="24"/>
          <w:szCs w:val="24"/>
        </w:rPr>
        <w:t>r</w:t>
      </w:r>
      <w:r w:rsidR="00A66811">
        <w:rPr>
          <w:rFonts w:ascii="Garamond" w:hAnsi="Garamond"/>
          <w:sz w:val="24"/>
          <w:szCs w:val="24"/>
        </w:rPr>
        <w:t>elman</w:t>
      </w:r>
      <w:proofErr w:type="spellEnd"/>
      <w:r w:rsidR="00A66811">
        <w:rPr>
          <w:rFonts w:ascii="Garamond" w:hAnsi="Garamond"/>
          <w:sz w:val="24"/>
          <w:szCs w:val="24"/>
        </w:rPr>
        <w:t xml:space="preserve"> ha molto riflettuto sulla caratterizzazione dell’</w:t>
      </w:r>
      <w:r w:rsidR="001D64AB">
        <w:rPr>
          <w:rFonts w:ascii="Garamond" w:hAnsi="Garamond"/>
          <w:sz w:val="24"/>
          <w:szCs w:val="24"/>
        </w:rPr>
        <w:t xml:space="preserve">argomentazione </w:t>
      </w:r>
      <w:proofErr w:type="gramStart"/>
      <w:r w:rsidR="001D64AB">
        <w:rPr>
          <w:rFonts w:ascii="Garamond" w:hAnsi="Garamond"/>
          <w:sz w:val="24"/>
          <w:szCs w:val="24"/>
        </w:rPr>
        <w:t>a seconda della</w:t>
      </w:r>
      <w:proofErr w:type="gramEnd"/>
      <w:r w:rsidR="001D64AB">
        <w:rPr>
          <w:rFonts w:ascii="Garamond" w:hAnsi="Garamond"/>
          <w:sz w:val="24"/>
          <w:szCs w:val="24"/>
        </w:rPr>
        <w:t xml:space="preserve"> natura dell’uditorio cui è indirizzata</w:t>
      </w:r>
      <w:r w:rsidR="00D869BF">
        <w:rPr>
          <w:rFonts w:ascii="Garamond" w:hAnsi="Garamond"/>
          <w:sz w:val="24"/>
          <w:szCs w:val="24"/>
        </w:rPr>
        <w:t xml:space="preserve">. La particolarità e l’universalità dell’uditorio </w:t>
      </w:r>
      <w:r w:rsidR="00FA3C00">
        <w:rPr>
          <w:rFonts w:ascii="Garamond" w:hAnsi="Garamond"/>
          <w:sz w:val="24"/>
          <w:szCs w:val="24"/>
        </w:rPr>
        <w:t xml:space="preserve">cui si </w:t>
      </w:r>
      <w:r w:rsidR="003567AA">
        <w:rPr>
          <w:rFonts w:ascii="Garamond" w:hAnsi="Garamond"/>
          <w:sz w:val="24"/>
          <w:szCs w:val="24"/>
        </w:rPr>
        <w:t>rivolge</w:t>
      </w:r>
      <w:r w:rsidR="00FA3C00">
        <w:rPr>
          <w:rFonts w:ascii="Garamond" w:hAnsi="Garamond"/>
          <w:sz w:val="24"/>
          <w:szCs w:val="24"/>
        </w:rPr>
        <w:t xml:space="preserve"> l’</w:t>
      </w:r>
      <w:r w:rsidR="000A64DD">
        <w:rPr>
          <w:rFonts w:ascii="Garamond" w:hAnsi="Garamond"/>
          <w:sz w:val="24"/>
          <w:szCs w:val="24"/>
        </w:rPr>
        <w:t>oratore rappresentano il criterio di distinzione</w:t>
      </w:r>
      <w:r w:rsidR="0041408B">
        <w:rPr>
          <w:rFonts w:ascii="Garamond" w:hAnsi="Garamond"/>
          <w:sz w:val="24"/>
          <w:szCs w:val="24"/>
        </w:rPr>
        <w:t>, rispettivamente,</w:t>
      </w:r>
      <w:r w:rsidR="000A64DD">
        <w:rPr>
          <w:rFonts w:ascii="Garamond" w:hAnsi="Garamond"/>
          <w:sz w:val="24"/>
          <w:szCs w:val="24"/>
        </w:rPr>
        <w:t xml:space="preserve"> fra discorso persuasivo e d</w:t>
      </w:r>
      <w:r w:rsidR="00810CBD">
        <w:rPr>
          <w:rFonts w:ascii="Garamond" w:hAnsi="Garamond"/>
          <w:sz w:val="24"/>
          <w:szCs w:val="24"/>
        </w:rPr>
        <w:t>iscorso che intende convincere:</w:t>
      </w:r>
    </w:p>
    <w:p w:rsidR="00586706" w:rsidRDefault="00586706" w:rsidP="00A12407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</w:p>
    <w:p w:rsidR="000A64DD" w:rsidRDefault="000A64DD" w:rsidP="000A64DD">
      <w:pPr>
        <w:spacing w:line="240" w:lineRule="auto"/>
        <w:ind w:left="567" w:right="566"/>
        <w:contextualSpacing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«</w:t>
      </w:r>
      <w:proofErr w:type="gramEnd"/>
      <w:r>
        <w:rPr>
          <w:rFonts w:ascii="Garamond" w:hAnsi="Garamond"/>
          <w:sz w:val="24"/>
          <w:szCs w:val="24"/>
        </w:rPr>
        <w:t>[…] invece di opporli l’uno all’altro, come il soggettivo all’oggettivo, è possibile ca</w:t>
      </w:r>
      <w:r w:rsidR="00810CBD">
        <w:rPr>
          <w:rFonts w:ascii="Garamond" w:hAnsi="Garamond"/>
          <w:sz w:val="24"/>
          <w:szCs w:val="24"/>
        </w:rPr>
        <w:t>r</w:t>
      </w:r>
      <w:r>
        <w:rPr>
          <w:rFonts w:ascii="Garamond" w:hAnsi="Garamond"/>
          <w:sz w:val="24"/>
          <w:szCs w:val="24"/>
        </w:rPr>
        <w:t xml:space="preserve">atterizzarli, in modo più tecnico, e anche più esatto, dicendo che il discorso rivolto a un uditorio particolare mira a persuadere, mentre quello rivolto all’uditorio universale mira a convincere. </w:t>
      </w:r>
      <w:proofErr w:type="gramStart"/>
      <w:r>
        <w:rPr>
          <w:rFonts w:ascii="Garamond" w:hAnsi="Garamond"/>
          <w:sz w:val="24"/>
          <w:szCs w:val="24"/>
        </w:rPr>
        <w:t>[…</w:t>
      </w:r>
      <w:proofErr w:type="gramEnd"/>
      <w:r>
        <w:rPr>
          <w:rFonts w:ascii="Garamond" w:hAnsi="Garamond"/>
          <w:sz w:val="24"/>
          <w:szCs w:val="24"/>
        </w:rPr>
        <w:t>] Un discorso convincente è quello le cui premesse e i cui argomenti sono universalizzabili, vale a dire accettabili, in linea di principio, da tutti i membri dell’uditorio universale»</w:t>
      </w:r>
      <w:r>
        <w:rPr>
          <w:rStyle w:val="FootnoteReference"/>
          <w:rFonts w:ascii="Garamond" w:hAnsi="Garamond"/>
          <w:sz w:val="24"/>
          <w:szCs w:val="24"/>
        </w:rPr>
        <w:footnoteReference w:id="2"/>
      </w:r>
      <w:proofErr w:type="gramStart"/>
      <w:r w:rsidR="00810CBD">
        <w:rPr>
          <w:rFonts w:ascii="Garamond" w:hAnsi="Garamond"/>
          <w:sz w:val="24"/>
          <w:szCs w:val="24"/>
        </w:rPr>
        <w:t>.</w:t>
      </w:r>
    </w:p>
    <w:p w:rsidR="00586706" w:rsidRDefault="00586706" w:rsidP="000A64DD">
      <w:pPr>
        <w:spacing w:line="240" w:lineRule="auto"/>
        <w:ind w:left="567" w:right="566"/>
        <w:contextualSpacing/>
        <w:jc w:val="both"/>
        <w:rPr>
          <w:rFonts w:ascii="Garamond" w:hAnsi="Garamond"/>
          <w:sz w:val="24"/>
          <w:szCs w:val="24"/>
        </w:rPr>
      </w:pPr>
      <w:proofErr w:type="gramEnd"/>
    </w:p>
    <w:p w:rsidR="00C50C8E" w:rsidRDefault="000A64DD" w:rsidP="00D80231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quest</w:t>
      </w:r>
      <w:r w:rsidR="00D869BF">
        <w:rPr>
          <w:rFonts w:ascii="Garamond" w:hAnsi="Garamond"/>
          <w:sz w:val="24"/>
          <w:szCs w:val="24"/>
        </w:rPr>
        <w:t>a prospettiva</w:t>
      </w:r>
      <w:r>
        <w:rPr>
          <w:rFonts w:ascii="Garamond" w:hAnsi="Garamond"/>
          <w:sz w:val="24"/>
          <w:szCs w:val="24"/>
        </w:rPr>
        <w:t>,</w:t>
      </w:r>
      <w:r w:rsidR="00810CBD">
        <w:rPr>
          <w:rFonts w:ascii="Garamond" w:hAnsi="Garamond"/>
          <w:sz w:val="24"/>
          <w:szCs w:val="24"/>
        </w:rPr>
        <w:t xml:space="preserve"> nella misura in cui </w:t>
      </w:r>
      <w:r w:rsidR="00B07ECF">
        <w:rPr>
          <w:rFonts w:ascii="Garamond" w:hAnsi="Garamond"/>
          <w:sz w:val="24"/>
          <w:szCs w:val="24"/>
        </w:rPr>
        <w:t>lusingano</w:t>
      </w:r>
      <w:r w:rsidR="00810CBD">
        <w:rPr>
          <w:rFonts w:ascii="Garamond" w:hAnsi="Garamond"/>
          <w:sz w:val="24"/>
          <w:szCs w:val="24"/>
        </w:rPr>
        <w:t xml:space="preserve"> </w:t>
      </w:r>
      <w:r w:rsidR="003567AA">
        <w:rPr>
          <w:rFonts w:ascii="Garamond" w:hAnsi="Garamond"/>
          <w:sz w:val="24"/>
          <w:szCs w:val="24"/>
        </w:rPr>
        <w:t>i loro</w:t>
      </w:r>
      <w:r w:rsidR="00810CBD">
        <w:rPr>
          <w:rFonts w:ascii="Garamond" w:hAnsi="Garamond"/>
          <w:sz w:val="24"/>
          <w:szCs w:val="24"/>
        </w:rPr>
        <w:t xml:space="preserve"> interlocutori</w:t>
      </w:r>
      <w:r w:rsidR="0041408B">
        <w:rPr>
          <w:rFonts w:ascii="Garamond" w:hAnsi="Garamond"/>
          <w:sz w:val="24"/>
          <w:szCs w:val="24"/>
        </w:rPr>
        <w:t xml:space="preserve"> particolari</w:t>
      </w:r>
      <w:r w:rsidR="00810CBD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i</w:t>
      </w:r>
      <w:r w:rsidR="001D64AB">
        <w:rPr>
          <w:rFonts w:ascii="Garamond" w:hAnsi="Garamond"/>
          <w:sz w:val="24"/>
          <w:szCs w:val="24"/>
        </w:rPr>
        <w:t xml:space="preserve"> sofisti</w:t>
      </w:r>
      <w:r>
        <w:rPr>
          <w:rFonts w:ascii="Garamond" w:hAnsi="Garamond"/>
          <w:sz w:val="24"/>
          <w:szCs w:val="24"/>
        </w:rPr>
        <w:t xml:space="preserve"> </w:t>
      </w:r>
      <w:r w:rsidR="001D64AB">
        <w:rPr>
          <w:rFonts w:ascii="Garamond" w:hAnsi="Garamond"/>
          <w:sz w:val="24"/>
          <w:szCs w:val="24"/>
        </w:rPr>
        <w:t>sarebbero fautori del discorso persuasivo</w:t>
      </w:r>
      <w:r w:rsidR="00810CBD">
        <w:rPr>
          <w:rFonts w:ascii="Garamond" w:hAnsi="Garamond"/>
          <w:sz w:val="24"/>
          <w:szCs w:val="24"/>
        </w:rPr>
        <w:t xml:space="preserve">, mentre </w:t>
      </w:r>
      <w:r>
        <w:rPr>
          <w:rFonts w:ascii="Garamond" w:hAnsi="Garamond"/>
          <w:sz w:val="24"/>
          <w:szCs w:val="24"/>
        </w:rPr>
        <w:t>Socrate</w:t>
      </w:r>
      <w:r w:rsidR="00810CBD">
        <w:rPr>
          <w:rFonts w:ascii="Garamond" w:hAnsi="Garamond"/>
          <w:sz w:val="24"/>
          <w:szCs w:val="24"/>
        </w:rPr>
        <w:t xml:space="preserve">, </w:t>
      </w:r>
      <w:proofErr w:type="gramStart"/>
      <w:r w:rsidR="00810CBD">
        <w:rPr>
          <w:rFonts w:ascii="Garamond" w:hAnsi="Garamond"/>
          <w:sz w:val="24"/>
          <w:szCs w:val="24"/>
        </w:rPr>
        <w:t>in</w:t>
      </w:r>
      <w:r w:rsidR="003567AA">
        <w:rPr>
          <w:rFonts w:ascii="Garamond" w:hAnsi="Garamond"/>
          <w:sz w:val="24"/>
          <w:szCs w:val="24"/>
        </w:rPr>
        <w:t xml:space="preserve"> quanto</w:t>
      </w:r>
      <w:proofErr w:type="gramEnd"/>
      <w:r w:rsidR="003567AA">
        <w:rPr>
          <w:rFonts w:ascii="Garamond" w:hAnsi="Garamond"/>
          <w:sz w:val="24"/>
          <w:szCs w:val="24"/>
        </w:rPr>
        <w:t xml:space="preserve"> interessato alla verità</w:t>
      </w:r>
      <w:r w:rsidR="0089520D">
        <w:rPr>
          <w:rFonts w:ascii="Garamond" w:hAnsi="Garamond"/>
          <w:sz w:val="24"/>
          <w:szCs w:val="24"/>
        </w:rPr>
        <w:t xml:space="preserve"> –</w:t>
      </w:r>
      <w:r w:rsidR="00810CBD">
        <w:rPr>
          <w:rFonts w:ascii="Garamond" w:hAnsi="Garamond"/>
          <w:sz w:val="24"/>
          <w:szCs w:val="24"/>
        </w:rPr>
        <w:t xml:space="preserve"> </w:t>
      </w:r>
      <w:r w:rsidR="00586706">
        <w:rPr>
          <w:rFonts w:ascii="Garamond" w:hAnsi="Garamond"/>
          <w:sz w:val="24"/>
          <w:szCs w:val="24"/>
        </w:rPr>
        <w:t xml:space="preserve">la quale è </w:t>
      </w:r>
      <w:r w:rsidR="00810CBD">
        <w:rPr>
          <w:rFonts w:ascii="Garamond" w:hAnsi="Garamond"/>
          <w:sz w:val="24"/>
          <w:szCs w:val="24"/>
        </w:rPr>
        <w:t>universale per definizione</w:t>
      </w:r>
      <w:r w:rsidR="0089520D">
        <w:rPr>
          <w:rFonts w:ascii="Garamond" w:hAnsi="Garamond"/>
          <w:sz w:val="24"/>
          <w:szCs w:val="24"/>
        </w:rPr>
        <w:t xml:space="preserve"> –</w:t>
      </w:r>
      <w:r w:rsidR="00810CBD">
        <w:rPr>
          <w:rFonts w:ascii="Garamond" w:hAnsi="Garamond"/>
          <w:sz w:val="24"/>
          <w:szCs w:val="24"/>
        </w:rPr>
        <w:t>, sarebbe fautore</w:t>
      </w:r>
      <w:r>
        <w:rPr>
          <w:rFonts w:ascii="Garamond" w:hAnsi="Garamond"/>
          <w:sz w:val="24"/>
          <w:szCs w:val="24"/>
        </w:rPr>
        <w:t xml:space="preserve"> del discorso convincente. </w:t>
      </w:r>
    </w:p>
    <w:p w:rsidR="00C43F09" w:rsidRDefault="00F32238" w:rsidP="00B13243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Nell’approssimarsi al concetto di persuasione, </w:t>
      </w:r>
      <w:r w:rsidR="007932AD">
        <w:rPr>
          <w:rFonts w:ascii="Garamond" w:hAnsi="Garamond"/>
          <w:sz w:val="24"/>
          <w:szCs w:val="24"/>
        </w:rPr>
        <w:t>ci si accorge presto del</w:t>
      </w:r>
      <w:r>
        <w:rPr>
          <w:rFonts w:ascii="Garamond" w:hAnsi="Garamond"/>
          <w:sz w:val="24"/>
          <w:szCs w:val="24"/>
        </w:rPr>
        <w:t xml:space="preserve">la variabilità delle accezioni </w:t>
      </w:r>
      <w:r w:rsidR="007932AD">
        <w:rPr>
          <w:rFonts w:ascii="Garamond" w:hAnsi="Garamond"/>
          <w:sz w:val="24"/>
          <w:szCs w:val="24"/>
        </w:rPr>
        <w:t xml:space="preserve">con cui </w:t>
      </w:r>
      <w:proofErr w:type="gramStart"/>
      <w:r w:rsidR="007932AD">
        <w:rPr>
          <w:rFonts w:ascii="Garamond" w:hAnsi="Garamond"/>
          <w:sz w:val="24"/>
          <w:szCs w:val="24"/>
        </w:rPr>
        <w:t>viene</w:t>
      </w:r>
      <w:proofErr w:type="gramEnd"/>
      <w:r w:rsidR="007932AD">
        <w:rPr>
          <w:rFonts w:ascii="Garamond" w:hAnsi="Garamond"/>
          <w:sz w:val="24"/>
          <w:szCs w:val="24"/>
        </w:rPr>
        <w:t xml:space="preserve"> inteso</w:t>
      </w:r>
      <w:r>
        <w:rPr>
          <w:rFonts w:ascii="Garamond" w:hAnsi="Garamond"/>
          <w:sz w:val="24"/>
          <w:szCs w:val="24"/>
        </w:rPr>
        <w:t xml:space="preserve">. </w:t>
      </w:r>
      <w:r w:rsidR="0080050F">
        <w:rPr>
          <w:rFonts w:ascii="Garamond" w:hAnsi="Garamond"/>
          <w:sz w:val="24"/>
          <w:szCs w:val="24"/>
        </w:rPr>
        <w:t xml:space="preserve">Se </w:t>
      </w:r>
      <w:r w:rsidR="00B13243">
        <w:rPr>
          <w:rFonts w:ascii="Garamond" w:hAnsi="Garamond"/>
          <w:sz w:val="24"/>
          <w:szCs w:val="24"/>
        </w:rPr>
        <w:t>la docente</w:t>
      </w:r>
      <w:r w:rsidR="00DA4BD0">
        <w:rPr>
          <w:rFonts w:ascii="Garamond" w:hAnsi="Garamond"/>
          <w:sz w:val="24"/>
          <w:szCs w:val="24"/>
        </w:rPr>
        <w:t xml:space="preserve"> </w:t>
      </w:r>
      <w:r w:rsidR="0032031C">
        <w:rPr>
          <w:rFonts w:ascii="Garamond" w:hAnsi="Garamond"/>
          <w:sz w:val="24"/>
          <w:szCs w:val="24"/>
        </w:rPr>
        <w:t xml:space="preserve">le </w:t>
      </w:r>
      <w:r>
        <w:rPr>
          <w:rFonts w:ascii="Garamond" w:hAnsi="Garamond"/>
          <w:sz w:val="24"/>
          <w:szCs w:val="24"/>
        </w:rPr>
        <w:t xml:space="preserve">accorpa </w:t>
      </w:r>
      <w:r w:rsidR="00DA4BD0">
        <w:rPr>
          <w:rFonts w:ascii="Garamond" w:hAnsi="Garamond"/>
          <w:sz w:val="24"/>
          <w:szCs w:val="24"/>
        </w:rPr>
        <w:t xml:space="preserve">sotto un unico termine, </w:t>
      </w:r>
      <w:proofErr w:type="gramStart"/>
      <w:r w:rsidR="00586706">
        <w:rPr>
          <w:rFonts w:ascii="Garamond" w:hAnsi="Garamond"/>
          <w:sz w:val="24"/>
          <w:szCs w:val="24"/>
        </w:rPr>
        <w:t>tenendo</w:t>
      </w:r>
      <w:proofErr w:type="gramEnd"/>
      <w:r w:rsidR="00586706">
        <w:rPr>
          <w:rFonts w:ascii="Garamond" w:hAnsi="Garamond"/>
          <w:sz w:val="24"/>
          <w:szCs w:val="24"/>
        </w:rPr>
        <w:t xml:space="preserve"> fede al carattere polisemico del concetto, </w:t>
      </w:r>
      <w:proofErr w:type="spellStart"/>
      <w:r w:rsidR="00DA4BD0">
        <w:rPr>
          <w:rFonts w:ascii="Garamond" w:hAnsi="Garamond"/>
          <w:sz w:val="24"/>
          <w:szCs w:val="24"/>
        </w:rPr>
        <w:t>Perelman</w:t>
      </w:r>
      <w:proofErr w:type="spellEnd"/>
      <w:r w:rsidR="007932AD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come si è visto</w:t>
      </w:r>
      <w:r w:rsidR="007932AD">
        <w:rPr>
          <w:rFonts w:ascii="Garamond" w:hAnsi="Garamond"/>
          <w:sz w:val="24"/>
          <w:szCs w:val="24"/>
        </w:rPr>
        <w:t>,</w:t>
      </w:r>
      <w:r w:rsidR="00DA4BD0">
        <w:rPr>
          <w:rFonts w:ascii="Garamond" w:hAnsi="Garamond"/>
          <w:sz w:val="24"/>
          <w:szCs w:val="24"/>
        </w:rPr>
        <w:t xml:space="preserve"> distingue accuratamente il piano della convinzione da quello della persuasione; si pensi</w:t>
      </w:r>
      <w:r w:rsidR="006C0D1C">
        <w:rPr>
          <w:rFonts w:ascii="Garamond" w:hAnsi="Garamond"/>
          <w:sz w:val="24"/>
          <w:szCs w:val="24"/>
        </w:rPr>
        <w:t xml:space="preserve"> inoltre</w:t>
      </w:r>
      <w:r>
        <w:rPr>
          <w:rFonts w:ascii="Garamond" w:hAnsi="Garamond"/>
          <w:sz w:val="24"/>
          <w:szCs w:val="24"/>
        </w:rPr>
        <w:t>, a titolo di esempio,</w:t>
      </w:r>
      <w:r w:rsidR="00DA4BD0">
        <w:rPr>
          <w:rFonts w:ascii="Garamond" w:hAnsi="Garamond"/>
          <w:sz w:val="24"/>
          <w:szCs w:val="24"/>
        </w:rPr>
        <w:t xml:space="preserve"> anche alla famosa accezione </w:t>
      </w:r>
      <w:proofErr w:type="spellStart"/>
      <w:r w:rsidR="00DA4BD0">
        <w:rPr>
          <w:rFonts w:ascii="Garamond" w:hAnsi="Garamond"/>
          <w:sz w:val="24"/>
          <w:szCs w:val="24"/>
        </w:rPr>
        <w:t>etico-esistenziale</w:t>
      </w:r>
      <w:proofErr w:type="spellEnd"/>
      <w:r w:rsidR="00DA4BD0">
        <w:rPr>
          <w:rFonts w:ascii="Garamond" w:hAnsi="Garamond"/>
          <w:sz w:val="24"/>
          <w:szCs w:val="24"/>
        </w:rPr>
        <w:t xml:space="preserve"> di </w:t>
      </w:r>
      <w:proofErr w:type="spellStart"/>
      <w:r w:rsidR="00DA4BD0">
        <w:rPr>
          <w:rFonts w:ascii="Garamond" w:hAnsi="Garamond"/>
          <w:sz w:val="24"/>
          <w:szCs w:val="24"/>
        </w:rPr>
        <w:t>Michelstaedter</w:t>
      </w:r>
      <w:proofErr w:type="spellEnd"/>
      <w:r w:rsidR="00DA4BD0">
        <w:rPr>
          <w:rFonts w:ascii="Garamond" w:hAnsi="Garamond"/>
          <w:sz w:val="24"/>
          <w:szCs w:val="24"/>
        </w:rPr>
        <w:t>, second</w:t>
      </w:r>
      <w:r w:rsidR="0006278C">
        <w:rPr>
          <w:rFonts w:ascii="Garamond" w:hAnsi="Garamond"/>
          <w:sz w:val="24"/>
          <w:szCs w:val="24"/>
        </w:rPr>
        <w:t>o cui la persuasione rappresenterebbe</w:t>
      </w:r>
      <w:r w:rsidR="00DA4BD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 via dell’esistenza autentica</w:t>
      </w:r>
      <w:r w:rsidR="00DA4BD0">
        <w:rPr>
          <w:rFonts w:ascii="Garamond" w:hAnsi="Garamond"/>
          <w:sz w:val="24"/>
          <w:szCs w:val="24"/>
        </w:rPr>
        <w:t xml:space="preserve"> in quanto contrapposta alla </w:t>
      </w:r>
      <w:proofErr w:type="spellStart"/>
      <w:r w:rsidR="00DA4BD0" w:rsidRPr="0032031C">
        <w:rPr>
          <w:rFonts w:ascii="Garamond" w:hAnsi="Garamond"/>
          <w:i/>
          <w:sz w:val="24"/>
          <w:szCs w:val="24"/>
        </w:rPr>
        <w:t>rettorica</w:t>
      </w:r>
      <w:proofErr w:type="spellEnd"/>
      <w:r w:rsidR="00DA4BD0">
        <w:rPr>
          <w:rFonts w:ascii="Garamond" w:hAnsi="Garamond"/>
          <w:sz w:val="24"/>
          <w:szCs w:val="24"/>
        </w:rPr>
        <w:t xml:space="preserve">, modalità illusoria </w:t>
      </w:r>
      <w:r w:rsidR="00B80AF5">
        <w:rPr>
          <w:rFonts w:ascii="Garamond" w:hAnsi="Garamond"/>
          <w:sz w:val="24"/>
          <w:szCs w:val="24"/>
        </w:rPr>
        <w:t>di vita</w:t>
      </w:r>
      <w:r w:rsidR="00336176">
        <w:rPr>
          <w:rFonts w:ascii="Garamond" w:hAnsi="Garamond"/>
          <w:sz w:val="24"/>
          <w:szCs w:val="24"/>
        </w:rPr>
        <w:t xml:space="preserve"> </w:t>
      </w:r>
      <w:r w:rsidR="00DA4BD0">
        <w:rPr>
          <w:rFonts w:ascii="Garamond" w:hAnsi="Garamond"/>
          <w:sz w:val="24"/>
          <w:szCs w:val="24"/>
        </w:rPr>
        <w:t xml:space="preserve">irretita nella </w:t>
      </w:r>
      <w:r w:rsidR="0032031C">
        <w:rPr>
          <w:rFonts w:ascii="Garamond" w:hAnsi="Garamond"/>
          <w:sz w:val="24"/>
          <w:szCs w:val="24"/>
        </w:rPr>
        <w:t>mondanità</w:t>
      </w:r>
      <w:r w:rsidR="00A12407">
        <w:rPr>
          <w:rStyle w:val="FootnoteReference"/>
          <w:rFonts w:ascii="Garamond" w:hAnsi="Garamond"/>
          <w:sz w:val="24"/>
          <w:szCs w:val="24"/>
        </w:rPr>
        <w:footnoteReference w:id="3"/>
      </w:r>
      <w:r w:rsidR="00DA4BD0">
        <w:rPr>
          <w:rFonts w:ascii="Garamond" w:hAnsi="Garamond"/>
          <w:sz w:val="24"/>
          <w:szCs w:val="24"/>
        </w:rPr>
        <w:t>.</w:t>
      </w:r>
      <w:r w:rsidR="00583F2A">
        <w:rPr>
          <w:rFonts w:ascii="Garamond" w:hAnsi="Garamond"/>
          <w:sz w:val="24"/>
          <w:szCs w:val="24"/>
        </w:rPr>
        <w:t xml:space="preserve"> </w:t>
      </w:r>
      <w:r w:rsidR="00C80E7C">
        <w:rPr>
          <w:rFonts w:ascii="Garamond" w:hAnsi="Garamond"/>
          <w:sz w:val="24"/>
          <w:szCs w:val="24"/>
        </w:rPr>
        <w:t>Non c’è, evidentemente, un “giusto” co</w:t>
      </w:r>
      <w:r w:rsidR="00D869BF">
        <w:rPr>
          <w:rFonts w:ascii="Garamond" w:hAnsi="Garamond"/>
          <w:sz w:val="24"/>
          <w:szCs w:val="24"/>
        </w:rPr>
        <w:t xml:space="preserve">ncetto di persuasione: esso </w:t>
      </w:r>
      <w:r w:rsidR="00336176">
        <w:rPr>
          <w:rFonts w:ascii="Garamond" w:hAnsi="Garamond"/>
          <w:sz w:val="24"/>
          <w:szCs w:val="24"/>
        </w:rPr>
        <w:t>internamente</w:t>
      </w:r>
      <w:r w:rsidR="00566E31">
        <w:rPr>
          <w:rFonts w:ascii="Garamond" w:hAnsi="Garamond"/>
          <w:sz w:val="24"/>
          <w:szCs w:val="24"/>
        </w:rPr>
        <w:t xml:space="preserve"> sembra oscillare</w:t>
      </w:r>
      <w:r w:rsidR="00C80E7C">
        <w:rPr>
          <w:rFonts w:ascii="Garamond" w:hAnsi="Garamond"/>
          <w:sz w:val="24"/>
          <w:szCs w:val="24"/>
        </w:rPr>
        <w:t xml:space="preserve"> </w:t>
      </w:r>
      <w:r w:rsidR="001245A0">
        <w:rPr>
          <w:rFonts w:ascii="Garamond" w:hAnsi="Garamond"/>
          <w:sz w:val="24"/>
          <w:szCs w:val="24"/>
        </w:rPr>
        <w:t>fra un polo veritativo</w:t>
      </w:r>
      <w:r w:rsidR="00C80E7C">
        <w:rPr>
          <w:rFonts w:ascii="Garamond" w:hAnsi="Garamond"/>
          <w:sz w:val="24"/>
          <w:szCs w:val="24"/>
        </w:rPr>
        <w:t xml:space="preserve"> – quello del convincimento o del buon ragionare</w:t>
      </w:r>
      <w:r w:rsidR="00336176">
        <w:rPr>
          <w:rFonts w:ascii="Garamond" w:hAnsi="Garamond"/>
          <w:sz w:val="24"/>
          <w:szCs w:val="24"/>
        </w:rPr>
        <w:t>, che si appella all’uditorio universale</w:t>
      </w:r>
      <w:r w:rsidR="00C80E7C">
        <w:rPr>
          <w:rFonts w:ascii="Garamond" w:hAnsi="Garamond"/>
          <w:sz w:val="24"/>
          <w:szCs w:val="24"/>
        </w:rPr>
        <w:t xml:space="preserve"> – </w:t>
      </w:r>
      <w:r w:rsidR="0032031C">
        <w:rPr>
          <w:rFonts w:ascii="Garamond" w:hAnsi="Garamond"/>
          <w:sz w:val="24"/>
          <w:szCs w:val="24"/>
        </w:rPr>
        <w:t>e</w:t>
      </w:r>
      <w:r w:rsidR="00C80E7C">
        <w:rPr>
          <w:rFonts w:ascii="Garamond" w:hAnsi="Garamond"/>
          <w:sz w:val="24"/>
          <w:szCs w:val="24"/>
        </w:rPr>
        <w:t xml:space="preserve"> un polo </w:t>
      </w:r>
      <w:proofErr w:type="spellStart"/>
      <w:r w:rsidR="001245A0">
        <w:rPr>
          <w:rFonts w:ascii="Garamond" w:hAnsi="Garamond"/>
          <w:sz w:val="24"/>
          <w:szCs w:val="24"/>
        </w:rPr>
        <w:t>falsificator</w:t>
      </w:r>
      <w:r w:rsidR="007B16F6">
        <w:rPr>
          <w:rFonts w:ascii="Garamond" w:hAnsi="Garamond"/>
          <w:sz w:val="24"/>
          <w:szCs w:val="24"/>
        </w:rPr>
        <w:t>io</w:t>
      </w:r>
      <w:proofErr w:type="spellEnd"/>
      <w:r w:rsidR="00C80E7C">
        <w:rPr>
          <w:rFonts w:ascii="Garamond" w:hAnsi="Garamond"/>
          <w:sz w:val="24"/>
          <w:szCs w:val="24"/>
        </w:rPr>
        <w:t xml:space="preserve"> – quello dell’inganno e della demagogia</w:t>
      </w:r>
      <w:r w:rsidR="00336176">
        <w:rPr>
          <w:rFonts w:ascii="Garamond" w:hAnsi="Garamond"/>
          <w:sz w:val="24"/>
          <w:szCs w:val="24"/>
        </w:rPr>
        <w:t>, indirizzato a un uditorio particolare</w:t>
      </w:r>
      <w:r w:rsidR="001245A0">
        <w:rPr>
          <w:rFonts w:ascii="Garamond" w:hAnsi="Garamond"/>
          <w:sz w:val="24"/>
          <w:szCs w:val="24"/>
        </w:rPr>
        <w:t>;</w:t>
      </w:r>
      <w:r w:rsidR="00566E31">
        <w:rPr>
          <w:rFonts w:ascii="Garamond" w:hAnsi="Garamond"/>
          <w:sz w:val="24"/>
          <w:szCs w:val="24"/>
        </w:rPr>
        <w:t xml:space="preserve"> e sembra che solo il </w:t>
      </w:r>
      <w:proofErr w:type="gramStart"/>
      <w:r w:rsidR="00566E31">
        <w:rPr>
          <w:rFonts w:ascii="Garamond" w:hAnsi="Garamond"/>
          <w:sz w:val="24"/>
          <w:szCs w:val="24"/>
        </w:rPr>
        <w:t>contesto</w:t>
      </w:r>
      <w:proofErr w:type="gramEnd"/>
      <w:r w:rsidR="00566E31">
        <w:rPr>
          <w:rFonts w:ascii="Garamond" w:hAnsi="Garamond"/>
          <w:sz w:val="24"/>
          <w:szCs w:val="24"/>
        </w:rPr>
        <w:t xml:space="preserve"> possa decidere, di volta in volta, a quale polo ascriverne il senso. </w:t>
      </w:r>
    </w:p>
    <w:p w:rsidR="00B13243" w:rsidRPr="00B13243" w:rsidRDefault="00B13243" w:rsidP="00B1324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Figure della persuasione: </w:t>
      </w:r>
      <w:r w:rsidR="00C56DC2">
        <w:rPr>
          <w:rFonts w:ascii="Garamond" w:hAnsi="Garamond"/>
          <w:i/>
          <w:sz w:val="24"/>
          <w:szCs w:val="24"/>
        </w:rPr>
        <w:t xml:space="preserve">la dismisura di </w:t>
      </w:r>
      <w:r w:rsidRPr="00B13243">
        <w:rPr>
          <w:rFonts w:ascii="Garamond" w:hAnsi="Garamond"/>
          <w:i/>
          <w:sz w:val="24"/>
          <w:szCs w:val="24"/>
        </w:rPr>
        <w:t>Achille</w:t>
      </w:r>
    </w:p>
    <w:p w:rsidR="00C56DC2" w:rsidRDefault="00C43F09" w:rsidP="00FB38B9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Questo </w:t>
      </w:r>
      <w:r w:rsidR="001245A0">
        <w:rPr>
          <w:rFonts w:ascii="Garamond" w:hAnsi="Garamond"/>
          <w:sz w:val="24"/>
          <w:szCs w:val="24"/>
        </w:rPr>
        <w:t xml:space="preserve">peculiare campo </w:t>
      </w:r>
      <w:r>
        <w:rPr>
          <w:rFonts w:ascii="Garamond" w:hAnsi="Garamond"/>
          <w:sz w:val="24"/>
          <w:szCs w:val="24"/>
        </w:rPr>
        <w:t>di forze che è la persuasione</w:t>
      </w:r>
      <w:r w:rsidR="007B16F6">
        <w:rPr>
          <w:rFonts w:ascii="Garamond" w:hAnsi="Garamond"/>
          <w:sz w:val="24"/>
          <w:szCs w:val="24"/>
        </w:rPr>
        <w:t>,</w:t>
      </w:r>
      <w:r w:rsidR="00B13243">
        <w:rPr>
          <w:rFonts w:ascii="Garamond" w:hAnsi="Garamond"/>
          <w:sz w:val="24"/>
          <w:szCs w:val="24"/>
        </w:rPr>
        <w:t xml:space="preserve"> </w:t>
      </w:r>
      <w:proofErr w:type="gramStart"/>
      <w:r w:rsidR="00B13243">
        <w:rPr>
          <w:rFonts w:ascii="Garamond" w:hAnsi="Garamond"/>
          <w:sz w:val="24"/>
          <w:szCs w:val="24"/>
        </w:rPr>
        <w:t>in quanto</w:t>
      </w:r>
      <w:proofErr w:type="gramEnd"/>
      <w:r w:rsidR="00B13243">
        <w:rPr>
          <w:rFonts w:ascii="Garamond" w:hAnsi="Garamond"/>
          <w:sz w:val="24"/>
          <w:szCs w:val="24"/>
        </w:rPr>
        <w:t xml:space="preserve"> azione e in quanto potere</w:t>
      </w:r>
      <w:r>
        <w:rPr>
          <w:rFonts w:ascii="Garamond" w:hAnsi="Garamond"/>
          <w:sz w:val="24"/>
          <w:szCs w:val="24"/>
        </w:rPr>
        <w:t xml:space="preserve">, trova </w:t>
      </w:r>
      <w:r w:rsidR="00A140B9">
        <w:rPr>
          <w:rFonts w:ascii="Garamond" w:hAnsi="Garamond"/>
          <w:sz w:val="24"/>
          <w:szCs w:val="24"/>
        </w:rPr>
        <w:t>speciale</w:t>
      </w:r>
      <w:r>
        <w:rPr>
          <w:rFonts w:ascii="Garamond" w:hAnsi="Garamond"/>
          <w:sz w:val="24"/>
          <w:szCs w:val="24"/>
        </w:rPr>
        <w:t xml:space="preserve"> espressione nel poema omerico</w:t>
      </w:r>
      <w:r w:rsidR="00A140B9">
        <w:rPr>
          <w:rFonts w:ascii="Garamond" w:hAnsi="Garamond"/>
          <w:sz w:val="24"/>
          <w:szCs w:val="24"/>
        </w:rPr>
        <w:t xml:space="preserve">. </w:t>
      </w:r>
      <w:r w:rsidR="000B1824">
        <w:rPr>
          <w:rFonts w:ascii="Garamond" w:hAnsi="Garamond"/>
          <w:sz w:val="24"/>
          <w:szCs w:val="24"/>
        </w:rPr>
        <w:t>La docente focalizza in particolare</w:t>
      </w:r>
      <w:r w:rsidR="004B25C8">
        <w:rPr>
          <w:rFonts w:ascii="Garamond" w:hAnsi="Garamond"/>
          <w:sz w:val="24"/>
          <w:szCs w:val="24"/>
        </w:rPr>
        <w:t xml:space="preserve"> il</w:t>
      </w:r>
      <w:r>
        <w:rPr>
          <w:rFonts w:ascii="Garamond" w:hAnsi="Garamond"/>
          <w:sz w:val="24"/>
          <w:szCs w:val="24"/>
        </w:rPr>
        <w:t xml:space="preserve"> personaggio di Achille, figura paradigmatica d</w:t>
      </w:r>
      <w:r w:rsidR="00653E80">
        <w:rPr>
          <w:rFonts w:ascii="Garamond" w:hAnsi="Garamond"/>
          <w:sz w:val="24"/>
          <w:szCs w:val="24"/>
        </w:rPr>
        <w:t xml:space="preserve">i </w:t>
      </w:r>
      <w:r>
        <w:rPr>
          <w:rFonts w:ascii="Garamond" w:hAnsi="Garamond"/>
          <w:sz w:val="24"/>
          <w:szCs w:val="24"/>
        </w:rPr>
        <w:t xml:space="preserve">resistenza alla </w:t>
      </w:r>
      <w:r w:rsidR="00583F2A">
        <w:rPr>
          <w:rFonts w:ascii="Garamond" w:hAnsi="Garamond"/>
          <w:sz w:val="24"/>
          <w:szCs w:val="24"/>
        </w:rPr>
        <w:t>divinità</w:t>
      </w:r>
      <w:r w:rsidR="004B25C8">
        <w:rPr>
          <w:rFonts w:ascii="Garamond" w:hAnsi="Garamond"/>
          <w:sz w:val="24"/>
          <w:szCs w:val="24"/>
        </w:rPr>
        <w:t>:</w:t>
      </w:r>
      <w:r w:rsidR="0006278C">
        <w:rPr>
          <w:rFonts w:ascii="Garamond" w:hAnsi="Garamond"/>
          <w:sz w:val="24"/>
          <w:szCs w:val="24"/>
        </w:rPr>
        <w:t xml:space="preserve"> n</w:t>
      </w:r>
      <w:r w:rsidR="009A0368">
        <w:rPr>
          <w:rFonts w:ascii="Garamond" w:hAnsi="Garamond"/>
          <w:sz w:val="24"/>
          <w:szCs w:val="24"/>
        </w:rPr>
        <w:t xml:space="preserve">onostante </w:t>
      </w:r>
      <w:r w:rsidR="00A140B9">
        <w:rPr>
          <w:rFonts w:ascii="Garamond" w:hAnsi="Garamond"/>
          <w:sz w:val="24"/>
          <w:szCs w:val="24"/>
        </w:rPr>
        <w:t>i tentativi di Atena</w:t>
      </w:r>
      <w:r w:rsidR="007932AD">
        <w:rPr>
          <w:rFonts w:ascii="Garamond" w:hAnsi="Garamond"/>
          <w:sz w:val="24"/>
          <w:szCs w:val="24"/>
        </w:rPr>
        <w:t xml:space="preserve"> intesi a persuaderlo </w:t>
      </w:r>
      <w:r w:rsidR="00C80E7C">
        <w:rPr>
          <w:rFonts w:ascii="Garamond" w:hAnsi="Garamond"/>
          <w:sz w:val="24"/>
          <w:szCs w:val="24"/>
        </w:rPr>
        <w:t xml:space="preserve">a </w:t>
      </w:r>
      <w:r w:rsidR="007932AD">
        <w:rPr>
          <w:rFonts w:ascii="Garamond" w:hAnsi="Garamond"/>
          <w:sz w:val="24"/>
          <w:szCs w:val="24"/>
        </w:rPr>
        <w:t xml:space="preserve">rinunciare </w:t>
      </w:r>
      <w:r w:rsidR="007B16F6">
        <w:rPr>
          <w:rFonts w:ascii="Garamond" w:hAnsi="Garamond"/>
          <w:sz w:val="24"/>
          <w:szCs w:val="24"/>
        </w:rPr>
        <w:t>a combattere contro</w:t>
      </w:r>
      <w:r w:rsidR="007932AD">
        <w:rPr>
          <w:rFonts w:ascii="Garamond" w:hAnsi="Garamond"/>
          <w:sz w:val="24"/>
          <w:szCs w:val="24"/>
        </w:rPr>
        <w:t xml:space="preserve"> Ettore</w:t>
      </w:r>
      <w:r w:rsidR="00A140B9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Achille non desiste e persegue con ostinaz</w:t>
      </w:r>
      <w:r w:rsidR="00153509">
        <w:rPr>
          <w:rFonts w:ascii="Garamond" w:hAnsi="Garamond"/>
          <w:sz w:val="24"/>
          <w:szCs w:val="24"/>
        </w:rPr>
        <w:t xml:space="preserve">ione la decisione di vendicare </w:t>
      </w:r>
      <w:proofErr w:type="spellStart"/>
      <w:r w:rsidR="00153509">
        <w:rPr>
          <w:rFonts w:ascii="Garamond" w:hAnsi="Garamond"/>
          <w:sz w:val="24"/>
          <w:szCs w:val="24"/>
        </w:rPr>
        <w:t>Patroclo</w:t>
      </w:r>
      <w:proofErr w:type="spellEnd"/>
      <w:r w:rsidR="00A140B9">
        <w:rPr>
          <w:rFonts w:ascii="Garamond" w:hAnsi="Garamond"/>
          <w:sz w:val="24"/>
          <w:szCs w:val="24"/>
        </w:rPr>
        <w:t>. È</w:t>
      </w:r>
      <w:r w:rsidR="00DD5280">
        <w:rPr>
          <w:rFonts w:ascii="Garamond" w:hAnsi="Garamond"/>
          <w:sz w:val="24"/>
          <w:szCs w:val="24"/>
        </w:rPr>
        <w:t xml:space="preserve"> la stessa</w:t>
      </w:r>
      <w:r w:rsidR="00153509">
        <w:rPr>
          <w:rFonts w:ascii="Garamond" w:hAnsi="Garamond"/>
          <w:sz w:val="24"/>
          <w:szCs w:val="24"/>
        </w:rPr>
        <w:t xml:space="preserve"> dismisura</w:t>
      </w:r>
      <w:r w:rsidR="00DD5280">
        <w:rPr>
          <w:rFonts w:ascii="Garamond" w:hAnsi="Garamond"/>
          <w:sz w:val="24"/>
          <w:szCs w:val="24"/>
        </w:rPr>
        <w:t xml:space="preserve"> d</w:t>
      </w:r>
      <w:r w:rsidR="004B25C8">
        <w:rPr>
          <w:rFonts w:ascii="Garamond" w:hAnsi="Garamond"/>
          <w:sz w:val="24"/>
          <w:szCs w:val="24"/>
        </w:rPr>
        <w:t>i</w:t>
      </w:r>
      <w:r w:rsidR="00DD5280">
        <w:rPr>
          <w:rFonts w:ascii="Garamond" w:hAnsi="Garamond"/>
          <w:sz w:val="24"/>
          <w:szCs w:val="24"/>
        </w:rPr>
        <w:t xml:space="preserve"> Prometeo </w:t>
      </w:r>
      <w:r w:rsidR="00153509">
        <w:rPr>
          <w:rFonts w:ascii="Garamond" w:hAnsi="Garamond"/>
          <w:sz w:val="24"/>
          <w:szCs w:val="24"/>
        </w:rPr>
        <w:t>nel</w:t>
      </w:r>
      <w:r w:rsidR="00586706">
        <w:rPr>
          <w:rFonts w:ascii="Garamond" w:hAnsi="Garamond"/>
          <w:sz w:val="24"/>
          <w:szCs w:val="24"/>
        </w:rPr>
        <w:t xml:space="preserve"> </w:t>
      </w:r>
      <w:r w:rsidR="00586706" w:rsidRPr="00586706">
        <w:rPr>
          <w:rFonts w:ascii="Garamond" w:hAnsi="Garamond"/>
          <w:i/>
          <w:sz w:val="24"/>
          <w:szCs w:val="24"/>
        </w:rPr>
        <w:t>Prometeo incatenato</w:t>
      </w:r>
      <w:r w:rsidR="00DD5280">
        <w:rPr>
          <w:rFonts w:ascii="Garamond" w:hAnsi="Garamond"/>
          <w:sz w:val="24"/>
          <w:szCs w:val="24"/>
        </w:rPr>
        <w:t xml:space="preserve"> di Eschilo, che</w:t>
      </w:r>
      <w:r w:rsidR="00153509">
        <w:rPr>
          <w:rFonts w:ascii="Garamond" w:hAnsi="Garamond"/>
          <w:sz w:val="24"/>
          <w:szCs w:val="24"/>
        </w:rPr>
        <w:t xml:space="preserve"> non cede alle ingiunzio</w:t>
      </w:r>
      <w:r w:rsidR="00DD5280">
        <w:rPr>
          <w:rFonts w:ascii="Garamond" w:hAnsi="Garamond"/>
          <w:sz w:val="24"/>
          <w:szCs w:val="24"/>
        </w:rPr>
        <w:t>ni di</w:t>
      </w:r>
      <w:r w:rsidR="00653E80">
        <w:rPr>
          <w:rFonts w:ascii="Garamond" w:hAnsi="Garamond"/>
          <w:sz w:val="24"/>
          <w:szCs w:val="24"/>
        </w:rPr>
        <w:t xml:space="preserve"> Zeus</w:t>
      </w:r>
      <w:r w:rsidR="00DD5280">
        <w:rPr>
          <w:rFonts w:ascii="Garamond" w:hAnsi="Garamond"/>
          <w:sz w:val="24"/>
          <w:szCs w:val="24"/>
        </w:rPr>
        <w:t xml:space="preserve"> e persegue</w:t>
      </w:r>
      <w:r w:rsidR="00653E80">
        <w:rPr>
          <w:rFonts w:ascii="Garamond" w:hAnsi="Garamond"/>
          <w:sz w:val="24"/>
          <w:szCs w:val="24"/>
        </w:rPr>
        <w:t xml:space="preserve"> </w:t>
      </w:r>
      <w:r w:rsidR="009A0368">
        <w:rPr>
          <w:rFonts w:ascii="Garamond" w:hAnsi="Garamond"/>
          <w:sz w:val="24"/>
          <w:szCs w:val="24"/>
        </w:rPr>
        <w:t xml:space="preserve">con ostinazione </w:t>
      </w:r>
      <w:r w:rsidR="00653E80">
        <w:rPr>
          <w:rFonts w:ascii="Garamond" w:hAnsi="Garamond"/>
          <w:sz w:val="24"/>
          <w:szCs w:val="24"/>
        </w:rPr>
        <w:t>le ragioni del furto del fuoco</w:t>
      </w:r>
      <w:r w:rsidR="00DA4BD0">
        <w:rPr>
          <w:rFonts w:ascii="Garamond" w:hAnsi="Garamond"/>
          <w:sz w:val="24"/>
          <w:szCs w:val="24"/>
        </w:rPr>
        <w:t>,</w:t>
      </w:r>
      <w:r w:rsidR="00DD5280">
        <w:rPr>
          <w:rFonts w:ascii="Garamond" w:hAnsi="Garamond"/>
          <w:sz w:val="24"/>
          <w:szCs w:val="24"/>
        </w:rPr>
        <w:t xml:space="preserve"> pagandone le penose conseguenze. </w:t>
      </w:r>
    </w:p>
    <w:p w:rsidR="00EF0B45" w:rsidRDefault="00653E80" w:rsidP="00EF0B45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ruolo della persuasione </w:t>
      </w:r>
      <w:r w:rsidR="00DA4BD0">
        <w:rPr>
          <w:rFonts w:ascii="Garamond" w:hAnsi="Garamond"/>
          <w:sz w:val="24"/>
          <w:szCs w:val="24"/>
        </w:rPr>
        <w:t>nel rapporto con gli</w:t>
      </w:r>
      <w:r w:rsidR="009A0368">
        <w:rPr>
          <w:rFonts w:ascii="Garamond" w:hAnsi="Garamond"/>
          <w:sz w:val="24"/>
          <w:szCs w:val="24"/>
        </w:rPr>
        <w:t xml:space="preserve"> dei è</w:t>
      </w:r>
      <w:r w:rsidR="002C7420">
        <w:rPr>
          <w:rFonts w:ascii="Garamond" w:hAnsi="Garamond"/>
          <w:sz w:val="24"/>
          <w:szCs w:val="24"/>
        </w:rPr>
        <w:t xml:space="preserve"> </w:t>
      </w:r>
      <w:r w:rsidR="009A0368">
        <w:rPr>
          <w:rFonts w:ascii="Garamond" w:hAnsi="Garamond"/>
          <w:sz w:val="24"/>
          <w:szCs w:val="24"/>
        </w:rPr>
        <w:t>decisivo</w:t>
      </w:r>
      <w:r w:rsidR="002C7420">
        <w:rPr>
          <w:rFonts w:ascii="Garamond" w:hAnsi="Garamond"/>
          <w:sz w:val="24"/>
          <w:szCs w:val="24"/>
        </w:rPr>
        <w:t xml:space="preserve"> e restituisce una figura chiave della persuasione</w:t>
      </w:r>
      <w:r w:rsidR="00DD5280">
        <w:rPr>
          <w:rFonts w:ascii="Garamond" w:hAnsi="Garamond"/>
          <w:sz w:val="24"/>
          <w:szCs w:val="24"/>
        </w:rPr>
        <w:t xml:space="preserve">. </w:t>
      </w:r>
      <w:r w:rsidR="00C56DC2">
        <w:rPr>
          <w:rFonts w:ascii="Garamond" w:hAnsi="Garamond"/>
          <w:sz w:val="24"/>
          <w:szCs w:val="24"/>
        </w:rPr>
        <w:t>Nelle vicissitudini di Achille la persuasione</w:t>
      </w:r>
      <w:r w:rsidR="003F02FA">
        <w:rPr>
          <w:rFonts w:ascii="Garamond" w:hAnsi="Garamond"/>
          <w:sz w:val="24"/>
          <w:szCs w:val="24"/>
        </w:rPr>
        <w:t xml:space="preserve"> s</w:t>
      </w:r>
      <w:r w:rsidR="002C7420">
        <w:rPr>
          <w:rFonts w:ascii="Garamond" w:hAnsi="Garamond"/>
          <w:sz w:val="24"/>
          <w:szCs w:val="24"/>
        </w:rPr>
        <w:t>i dispiega</w:t>
      </w:r>
      <w:r w:rsidR="00C80E7C">
        <w:rPr>
          <w:rFonts w:ascii="Garamond" w:hAnsi="Garamond"/>
          <w:sz w:val="24"/>
          <w:szCs w:val="24"/>
        </w:rPr>
        <w:t xml:space="preserve"> sia</w:t>
      </w:r>
      <w:r w:rsidR="00E731CA">
        <w:rPr>
          <w:rFonts w:ascii="Garamond" w:hAnsi="Garamond"/>
          <w:sz w:val="24"/>
          <w:szCs w:val="24"/>
        </w:rPr>
        <w:t xml:space="preserve"> come</w:t>
      </w:r>
      <w:r w:rsidR="002C7420">
        <w:rPr>
          <w:rFonts w:ascii="Garamond" w:hAnsi="Garamond"/>
          <w:sz w:val="24"/>
          <w:szCs w:val="24"/>
        </w:rPr>
        <w:t xml:space="preserve"> dinamica esterna</w:t>
      </w:r>
      <w:r w:rsidR="003F02FA">
        <w:rPr>
          <w:rFonts w:ascii="Garamond" w:hAnsi="Garamond"/>
          <w:sz w:val="24"/>
          <w:szCs w:val="24"/>
        </w:rPr>
        <w:t>, di relazione con la divinità,</w:t>
      </w:r>
      <w:r w:rsidR="002C7420">
        <w:rPr>
          <w:rFonts w:ascii="Garamond" w:hAnsi="Garamond"/>
          <w:sz w:val="24"/>
          <w:szCs w:val="24"/>
        </w:rPr>
        <w:t xml:space="preserve"> </w:t>
      </w:r>
      <w:r w:rsidR="00C80E7C">
        <w:rPr>
          <w:rFonts w:ascii="Garamond" w:hAnsi="Garamond"/>
          <w:sz w:val="24"/>
          <w:szCs w:val="24"/>
        </w:rPr>
        <w:t xml:space="preserve">sia </w:t>
      </w:r>
      <w:r w:rsidR="007932AD">
        <w:rPr>
          <w:rFonts w:ascii="Garamond" w:hAnsi="Garamond"/>
          <w:sz w:val="24"/>
          <w:szCs w:val="24"/>
        </w:rPr>
        <w:t xml:space="preserve">come </w:t>
      </w:r>
      <w:r w:rsidR="002C7420">
        <w:rPr>
          <w:rFonts w:ascii="Garamond" w:hAnsi="Garamond"/>
          <w:sz w:val="24"/>
          <w:szCs w:val="24"/>
        </w:rPr>
        <w:t>dinamica interna</w:t>
      </w:r>
      <w:r w:rsidR="003F02FA">
        <w:rPr>
          <w:rFonts w:ascii="Garamond" w:hAnsi="Garamond"/>
          <w:sz w:val="24"/>
          <w:szCs w:val="24"/>
        </w:rPr>
        <w:t xml:space="preserve">, di </w:t>
      </w:r>
      <w:proofErr w:type="spellStart"/>
      <w:r w:rsidR="003F02FA">
        <w:rPr>
          <w:rFonts w:ascii="Garamond" w:hAnsi="Garamond"/>
          <w:sz w:val="24"/>
          <w:szCs w:val="24"/>
        </w:rPr>
        <w:t>autorelazione</w:t>
      </w:r>
      <w:proofErr w:type="spellEnd"/>
      <w:r w:rsidR="007932AD">
        <w:rPr>
          <w:rFonts w:ascii="Garamond" w:hAnsi="Garamond"/>
          <w:sz w:val="24"/>
          <w:szCs w:val="24"/>
        </w:rPr>
        <w:t xml:space="preserve"> (il “monologo interiore”)</w:t>
      </w:r>
      <w:r w:rsidR="00824D11">
        <w:rPr>
          <w:rFonts w:ascii="Garamond" w:hAnsi="Garamond"/>
          <w:sz w:val="24"/>
          <w:szCs w:val="24"/>
        </w:rPr>
        <w:t>; entrambe</w:t>
      </w:r>
      <w:r w:rsidR="00DB64C0">
        <w:rPr>
          <w:rFonts w:ascii="Garamond" w:hAnsi="Garamond"/>
          <w:sz w:val="24"/>
          <w:szCs w:val="24"/>
        </w:rPr>
        <w:t xml:space="preserve"> </w:t>
      </w:r>
      <w:r w:rsidR="0084770D">
        <w:rPr>
          <w:rFonts w:ascii="Garamond" w:hAnsi="Garamond"/>
          <w:sz w:val="24"/>
          <w:szCs w:val="24"/>
        </w:rPr>
        <w:t xml:space="preserve">chiedono </w:t>
      </w:r>
      <w:r w:rsidR="002C7420">
        <w:rPr>
          <w:rFonts w:ascii="Garamond" w:hAnsi="Garamond"/>
          <w:sz w:val="24"/>
          <w:szCs w:val="24"/>
        </w:rPr>
        <w:t>una decisione. Noto, infatti, che</w:t>
      </w:r>
      <w:r w:rsidR="001159E0">
        <w:rPr>
          <w:rFonts w:ascii="Garamond" w:hAnsi="Garamond"/>
          <w:sz w:val="24"/>
          <w:szCs w:val="24"/>
        </w:rPr>
        <w:t xml:space="preserve"> negli esempi portati dalla </w:t>
      </w:r>
      <w:proofErr w:type="gramStart"/>
      <w:r w:rsidR="001159E0">
        <w:rPr>
          <w:rFonts w:ascii="Garamond" w:hAnsi="Garamond"/>
          <w:sz w:val="24"/>
          <w:szCs w:val="24"/>
        </w:rPr>
        <w:t>docente</w:t>
      </w:r>
      <w:proofErr w:type="gramEnd"/>
      <w:r w:rsidR="002C7420">
        <w:rPr>
          <w:rFonts w:ascii="Garamond" w:hAnsi="Garamond"/>
          <w:sz w:val="24"/>
          <w:szCs w:val="24"/>
        </w:rPr>
        <w:t xml:space="preserve"> la persuasione </w:t>
      </w:r>
      <w:r w:rsidR="006C0D1C">
        <w:rPr>
          <w:rFonts w:ascii="Garamond" w:hAnsi="Garamond"/>
          <w:sz w:val="24"/>
          <w:szCs w:val="24"/>
        </w:rPr>
        <w:t>entra in gioco là</w:t>
      </w:r>
      <w:r w:rsidR="007932AD">
        <w:rPr>
          <w:rFonts w:ascii="Garamond" w:hAnsi="Garamond"/>
          <w:sz w:val="24"/>
          <w:szCs w:val="24"/>
        </w:rPr>
        <w:t xml:space="preserve"> dove vi</w:t>
      </w:r>
      <w:r w:rsidR="00AB1148">
        <w:rPr>
          <w:rFonts w:ascii="Garamond" w:hAnsi="Garamond"/>
          <w:sz w:val="24"/>
          <w:szCs w:val="24"/>
        </w:rPr>
        <w:t xml:space="preserve"> è</w:t>
      </w:r>
      <w:r w:rsidR="002C7420">
        <w:rPr>
          <w:rFonts w:ascii="Garamond" w:hAnsi="Garamond"/>
          <w:sz w:val="24"/>
          <w:szCs w:val="24"/>
        </w:rPr>
        <w:t xml:space="preserve"> un</w:t>
      </w:r>
      <w:r w:rsidR="00AB1148">
        <w:rPr>
          <w:rFonts w:ascii="Garamond" w:hAnsi="Garamond"/>
          <w:sz w:val="24"/>
          <w:szCs w:val="24"/>
        </w:rPr>
        <w:t>’</w:t>
      </w:r>
      <w:r w:rsidR="002C7420">
        <w:rPr>
          <w:rFonts w:ascii="Garamond" w:hAnsi="Garamond"/>
          <w:sz w:val="24"/>
          <w:szCs w:val="24"/>
        </w:rPr>
        <w:t>incertezza</w:t>
      </w:r>
      <w:r w:rsidR="00745F77">
        <w:rPr>
          <w:rFonts w:ascii="Garamond" w:hAnsi="Garamond"/>
          <w:sz w:val="24"/>
          <w:szCs w:val="24"/>
        </w:rPr>
        <w:t>, una controversia</w:t>
      </w:r>
      <w:r w:rsidR="002C7420">
        <w:rPr>
          <w:rFonts w:ascii="Garamond" w:hAnsi="Garamond"/>
          <w:sz w:val="24"/>
          <w:szCs w:val="24"/>
        </w:rPr>
        <w:t xml:space="preserve"> relativ</w:t>
      </w:r>
      <w:r w:rsidR="0032031C">
        <w:rPr>
          <w:rFonts w:ascii="Garamond" w:hAnsi="Garamond"/>
          <w:sz w:val="24"/>
          <w:szCs w:val="24"/>
        </w:rPr>
        <w:t>e</w:t>
      </w:r>
      <w:r w:rsidR="002C7420">
        <w:rPr>
          <w:rFonts w:ascii="Garamond" w:hAnsi="Garamond"/>
          <w:sz w:val="24"/>
          <w:szCs w:val="24"/>
        </w:rPr>
        <w:t xml:space="preserve"> all’azione: se </w:t>
      </w:r>
      <w:r w:rsidR="001159E0">
        <w:rPr>
          <w:rFonts w:ascii="Garamond" w:hAnsi="Garamond"/>
          <w:sz w:val="24"/>
          <w:szCs w:val="24"/>
        </w:rPr>
        <w:t>il decorso di azione</w:t>
      </w:r>
      <w:r w:rsidR="002C7420">
        <w:rPr>
          <w:rFonts w:ascii="Garamond" w:hAnsi="Garamond"/>
          <w:sz w:val="24"/>
          <w:szCs w:val="24"/>
        </w:rPr>
        <w:t xml:space="preserve"> fosse </w:t>
      </w:r>
      <w:r w:rsidR="006C0D1C">
        <w:rPr>
          <w:rFonts w:ascii="Garamond" w:hAnsi="Garamond"/>
          <w:sz w:val="24"/>
          <w:szCs w:val="24"/>
        </w:rPr>
        <w:t xml:space="preserve">certo e </w:t>
      </w:r>
      <w:r w:rsidR="001159E0">
        <w:rPr>
          <w:rFonts w:ascii="Garamond" w:hAnsi="Garamond"/>
          <w:sz w:val="24"/>
          <w:szCs w:val="24"/>
        </w:rPr>
        <w:t>cristallino</w:t>
      </w:r>
      <w:r w:rsidR="002C7420">
        <w:rPr>
          <w:rFonts w:ascii="Garamond" w:hAnsi="Garamond"/>
          <w:sz w:val="24"/>
          <w:szCs w:val="24"/>
        </w:rPr>
        <w:t>,</w:t>
      </w:r>
      <w:r w:rsidR="007932AD">
        <w:rPr>
          <w:rFonts w:ascii="Garamond" w:hAnsi="Garamond"/>
          <w:sz w:val="24"/>
          <w:szCs w:val="24"/>
        </w:rPr>
        <w:t xml:space="preserve"> se non vi fosse alcun dubbio,</w:t>
      </w:r>
      <w:r w:rsidR="002C7420">
        <w:rPr>
          <w:rFonts w:ascii="Garamond" w:hAnsi="Garamond"/>
          <w:sz w:val="24"/>
          <w:szCs w:val="24"/>
        </w:rPr>
        <w:t xml:space="preserve"> la persuasione, intesa come processo deliberativo intrinsecamente relazionale, non avrebbe ragione di esistere.</w:t>
      </w:r>
      <w:r w:rsidR="006C0D1C">
        <w:rPr>
          <w:rFonts w:ascii="Garamond" w:hAnsi="Garamond"/>
          <w:sz w:val="24"/>
          <w:szCs w:val="24"/>
        </w:rPr>
        <w:t xml:space="preserve"> In condizioni </w:t>
      </w:r>
      <w:proofErr w:type="gramStart"/>
      <w:r w:rsidR="006C0D1C">
        <w:rPr>
          <w:rFonts w:ascii="Garamond" w:hAnsi="Garamond"/>
          <w:sz w:val="24"/>
          <w:szCs w:val="24"/>
        </w:rPr>
        <w:t xml:space="preserve">di </w:t>
      </w:r>
      <w:proofErr w:type="gramEnd"/>
      <w:r w:rsidR="006C0D1C">
        <w:rPr>
          <w:rFonts w:ascii="Garamond" w:hAnsi="Garamond"/>
          <w:sz w:val="24"/>
          <w:szCs w:val="24"/>
        </w:rPr>
        <w:t>incertezza il</w:t>
      </w:r>
      <w:r w:rsidR="002C7420">
        <w:rPr>
          <w:rFonts w:ascii="Garamond" w:hAnsi="Garamond"/>
          <w:sz w:val="24"/>
          <w:szCs w:val="24"/>
        </w:rPr>
        <w:t xml:space="preserve"> soggetto </w:t>
      </w:r>
      <w:r w:rsidR="001159E0">
        <w:rPr>
          <w:rFonts w:ascii="Garamond" w:hAnsi="Garamond"/>
          <w:sz w:val="24"/>
          <w:szCs w:val="24"/>
        </w:rPr>
        <w:t xml:space="preserve">è chiamato a </w:t>
      </w:r>
      <w:r w:rsidR="002C7420">
        <w:rPr>
          <w:rFonts w:ascii="Garamond" w:hAnsi="Garamond"/>
          <w:sz w:val="24"/>
          <w:szCs w:val="24"/>
        </w:rPr>
        <w:t>scegl</w:t>
      </w:r>
      <w:r w:rsidR="00EF0B45">
        <w:rPr>
          <w:rFonts w:ascii="Garamond" w:hAnsi="Garamond"/>
          <w:sz w:val="24"/>
          <w:szCs w:val="24"/>
        </w:rPr>
        <w:t>iere se ascoltare se stesso</w:t>
      </w:r>
      <w:r w:rsidR="006C0D1C">
        <w:rPr>
          <w:rFonts w:ascii="Garamond" w:hAnsi="Garamond"/>
          <w:sz w:val="24"/>
          <w:szCs w:val="24"/>
        </w:rPr>
        <w:t xml:space="preserve"> </w:t>
      </w:r>
      <w:r w:rsidR="002C7420">
        <w:rPr>
          <w:rFonts w:ascii="Garamond" w:hAnsi="Garamond"/>
          <w:sz w:val="24"/>
          <w:szCs w:val="24"/>
        </w:rPr>
        <w:t xml:space="preserve">o se lasciarsi persuadere </w:t>
      </w:r>
      <w:r w:rsidR="00C80E7C">
        <w:rPr>
          <w:rFonts w:ascii="Garamond" w:hAnsi="Garamond"/>
          <w:sz w:val="24"/>
          <w:szCs w:val="24"/>
        </w:rPr>
        <w:t>da altri, in questo caso dalla divinità</w:t>
      </w:r>
      <w:r w:rsidR="00EF0B45">
        <w:rPr>
          <w:rFonts w:ascii="Garamond" w:hAnsi="Garamond"/>
          <w:sz w:val="24"/>
          <w:szCs w:val="24"/>
        </w:rPr>
        <w:t>. L</w:t>
      </w:r>
      <w:r w:rsidR="00C56DC2">
        <w:rPr>
          <w:rFonts w:ascii="Garamond" w:hAnsi="Garamond"/>
          <w:sz w:val="24"/>
          <w:szCs w:val="24"/>
        </w:rPr>
        <w:t xml:space="preserve">a persuasione </w:t>
      </w:r>
      <w:proofErr w:type="gramStart"/>
      <w:r w:rsidR="00C56DC2">
        <w:rPr>
          <w:rFonts w:ascii="Garamond" w:hAnsi="Garamond"/>
          <w:sz w:val="24"/>
          <w:szCs w:val="24"/>
        </w:rPr>
        <w:t xml:space="preserve">si </w:t>
      </w:r>
      <w:proofErr w:type="gramEnd"/>
      <w:r w:rsidR="00C56DC2">
        <w:rPr>
          <w:rFonts w:ascii="Garamond" w:hAnsi="Garamond"/>
          <w:sz w:val="24"/>
          <w:szCs w:val="24"/>
        </w:rPr>
        <w:t xml:space="preserve">inserisce </w:t>
      </w:r>
      <w:r w:rsidR="00336176">
        <w:rPr>
          <w:rFonts w:ascii="Garamond" w:hAnsi="Garamond"/>
          <w:sz w:val="24"/>
          <w:szCs w:val="24"/>
        </w:rPr>
        <w:t xml:space="preserve">allora </w:t>
      </w:r>
      <w:r w:rsidR="00C56DC2">
        <w:rPr>
          <w:rFonts w:ascii="Garamond" w:hAnsi="Garamond"/>
          <w:sz w:val="24"/>
          <w:szCs w:val="24"/>
        </w:rPr>
        <w:t>proprio in questo territorio di lotta fra possibilità</w:t>
      </w:r>
      <w:r w:rsidR="007932AD">
        <w:rPr>
          <w:rFonts w:ascii="Garamond" w:hAnsi="Garamond"/>
          <w:sz w:val="24"/>
          <w:szCs w:val="24"/>
        </w:rPr>
        <w:t xml:space="preserve"> di azione</w:t>
      </w:r>
      <w:r w:rsidR="00C56DC2">
        <w:rPr>
          <w:rFonts w:ascii="Garamond" w:hAnsi="Garamond"/>
          <w:sz w:val="24"/>
          <w:szCs w:val="24"/>
        </w:rPr>
        <w:t xml:space="preserve"> in contrasto, rispetto alle quali si è chiamati a deliberare</w:t>
      </w:r>
      <w:r w:rsidR="00EF0B45">
        <w:rPr>
          <w:rFonts w:ascii="Garamond" w:hAnsi="Garamond"/>
          <w:sz w:val="24"/>
          <w:szCs w:val="24"/>
        </w:rPr>
        <w:t xml:space="preserve">: </w:t>
      </w:r>
      <w:r w:rsidR="00745F77">
        <w:rPr>
          <w:rFonts w:ascii="Garamond" w:hAnsi="Garamond"/>
          <w:sz w:val="24"/>
          <w:szCs w:val="24"/>
        </w:rPr>
        <w:t xml:space="preserve">la persuasione </w:t>
      </w:r>
      <w:r w:rsidR="0032031C">
        <w:rPr>
          <w:rFonts w:ascii="Garamond" w:hAnsi="Garamond"/>
          <w:sz w:val="24"/>
          <w:szCs w:val="24"/>
        </w:rPr>
        <w:t>prende forma</w:t>
      </w:r>
      <w:r w:rsidR="00B80AF5">
        <w:rPr>
          <w:rFonts w:ascii="Garamond" w:hAnsi="Garamond"/>
          <w:sz w:val="24"/>
          <w:szCs w:val="24"/>
        </w:rPr>
        <w:t xml:space="preserve"> sul terreno fertile</w:t>
      </w:r>
      <w:r w:rsidR="007932AD">
        <w:rPr>
          <w:rFonts w:ascii="Garamond" w:hAnsi="Garamond"/>
          <w:sz w:val="24"/>
          <w:szCs w:val="24"/>
        </w:rPr>
        <w:t xml:space="preserve"> de</w:t>
      </w:r>
      <w:r w:rsidR="00EF0B45">
        <w:rPr>
          <w:rFonts w:ascii="Garamond" w:hAnsi="Garamond"/>
          <w:sz w:val="24"/>
          <w:szCs w:val="24"/>
        </w:rPr>
        <w:t>l soggetto</w:t>
      </w:r>
      <w:r w:rsidR="007932AD">
        <w:rPr>
          <w:rFonts w:ascii="Garamond" w:hAnsi="Garamond"/>
          <w:sz w:val="24"/>
          <w:szCs w:val="24"/>
        </w:rPr>
        <w:t xml:space="preserve"> che</w:t>
      </w:r>
      <w:r w:rsidR="00EF0B45">
        <w:rPr>
          <w:rFonts w:ascii="Garamond" w:hAnsi="Garamond"/>
          <w:sz w:val="24"/>
          <w:szCs w:val="24"/>
        </w:rPr>
        <w:t xml:space="preserve"> deve prendere posizione</w:t>
      </w:r>
      <w:r w:rsidR="002C7420">
        <w:rPr>
          <w:rFonts w:ascii="Garamond" w:hAnsi="Garamond"/>
          <w:sz w:val="24"/>
          <w:szCs w:val="24"/>
        </w:rPr>
        <w:t xml:space="preserve">. </w:t>
      </w:r>
    </w:p>
    <w:p w:rsidR="00BA0FA8" w:rsidRDefault="00194F2C" w:rsidP="00FB38B9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resistenza alla persuasione da parte di Achille non sarebbe </w:t>
      </w:r>
      <w:r w:rsidR="008B0955">
        <w:rPr>
          <w:rFonts w:ascii="Garamond" w:hAnsi="Garamond"/>
          <w:sz w:val="24"/>
          <w:szCs w:val="24"/>
        </w:rPr>
        <w:t xml:space="preserve">allora </w:t>
      </w:r>
      <w:r>
        <w:rPr>
          <w:rFonts w:ascii="Garamond" w:hAnsi="Garamond"/>
          <w:sz w:val="24"/>
          <w:szCs w:val="24"/>
        </w:rPr>
        <w:t xml:space="preserve">che testimonianza di una </w:t>
      </w:r>
      <w:proofErr w:type="gramStart"/>
      <w:r w:rsidR="00824D11">
        <w:rPr>
          <w:rFonts w:ascii="Garamond" w:hAnsi="Garamond"/>
          <w:sz w:val="24"/>
          <w:szCs w:val="24"/>
        </w:rPr>
        <w:t>«</w:t>
      </w:r>
      <w:proofErr w:type="gramEnd"/>
      <w:r>
        <w:rPr>
          <w:rFonts w:ascii="Garamond" w:hAnsi="Garamond"/>
          <w:sz w:val="24"/>
          <w:szCs w:val="24"/>
        </w:rPr>
        <w:t>coscien</w:t>
      </w:r>
      <w:r w:rsidR="00653E80">
        <w:rPr>
          <w:rFonts w:ascii="Garamond" w:hAnsi="Garamond"/>
          <w:sz w:val="24"/>
          <w:szCs w:val="24"/>
        </w:rPr>
        <w:t>za chiusa nel proprio monologo</w:t>
      </w:r>
      <w:r w:rsidR="00824D11">
        <w:rPr>
          <w:rFonts w:ascii="Garamond" w:hAnsi="Garamond"/>
          <w:sz w:val="24"/>
          <w:szCs w:val="24"/>
        </w:rPr>
        <w:t>»</w:t>
      </w:r>
      <w:r w:rsidR="00653E80">
        <w:rPr>
          <w:rFonts w:ascii="Garamond" w:hAnsi="Garamond"/>
          <w:sz w:val="24"/>
          <w:szCs w:val="24"/>
        </w:rPr>
        <w:t>.</w:t>
      </w:r>
      <w:r w:rsidR="00DA4BD0">
        <w:rPr>
          <w:rFonts w:ascii="Garamond" w:hAnsi="Garamond"/>
          <w:sz w:val="24"/>
          <w:szCs w:val="24"/>
        </w:rPr>
        <w:t xml:space="preserve"> </w:t>
      </w:r>
      <w:r w:rsidR="006C0D1C">
        <w:rPr>
          <w:rFonts w:ascii="Garamond" w:hAnsi="Garamond"/>
          <w:sz w:val="24"/>
          <w:szCs w:val="24"/>
        </w:rPr>
        <w:t xml:space="preserve">Il comportamento </w:t>
      </w:r>
      <w:r w:rsidR="00344516">
        <w:rPr>
          <w:rFonts w:ascii="Garamond" w:hAnsi="Garamond"/>
          <w:sz w:val="24"/>
          <w:szCs w:val="24"/>
        </w:rPr>
        <w:t>dell’eroe</w:t>
      </w:r>
      <w:r w:rsidR="006C0D1C">
        <w:rPr>
          <w:rFonts w:ascii="Garamond" w:hAnsi="Garamond"/>
          <w:sz w:val="24"/>
          <w:szCs w:val="24"/>
        </w:rPr>
        <w:t xml:space="preserve"> presenta</w:t>
      </w:r>
      <w:r w:rsidR="00824D11">
        <w:rPr>
          <w:rFonts w:ascii="Garamond" w:hAnsi="Garamond"/>
          <w:sz w:val="24"/>
          <w:szCs w:val="24"/>
        </w:rPr>
        <w:t xml:space="preserve"> cioè</w:t>
      </w:r>
      <w:r w:rsidR="006C0D1C">
        <w:rPr>
          <w:rFonts w:ascii="Garamond" w:hAnsi="Garamond"/>
          <w:sz w:val="24"/>
          <w:szCs w:val="24"/>
        </w:rPr>
        <w:t xml:space="preserve"> tutti i tratti dell’ostinazione. Eppure, r</w:t>
      </w:r>
      <w:r w:rsidR="008B0955">
        <w:rPr>
          <w:rFonts w:ascii="Garamond" w:hAnsi="Garamond"/>
          <w:sz w:val="24"/>
          <w:szCs w:val="24"/>
        </w:rPr>
        <w:t xml:space="preserve">endersi impermeabili alla </w:t>
      </w:r>
      <w:r w:rsidR="00344516">
        <w:rPr>
          <w:rFonts w:ascii="Garamond" w:hAnsi="Garamond"/>
          <w:sz w:val="24"/>
          <w:szCs w:val="24"/>
        </w:rPr>
        <w:t>persuasione</w:t>
      </w:r>
      <w:r w:rsidR="008B0955">
        <w:rPr>
          <w:rFonts w:ascii="Garamond" w:hAnsi="Garamond"/>
          <w:sz w:val="24"/>
          <w:szCs w:val="24"/>
        </w:rPr>
        <w:t xml:space="preserve"> può </w:t>
      </w:r>
      <w:r w:rsidR="00824D11">
        <w:rPr>
          <w:rFonts w:ascii="Garamond" w:hAnsi="Garamond"/>
          <w:sz w:val="24"/>
          <w:szCs w:val="24"/>
        </w:rPr>
        <w:t>anche</w:t>
      </w:r>
      <w:r w:rsidR="008B0955">
        <w:rPr>
          <w:rFonts w:ascii="Garamond" w:hAnsi="Garamond"/>
          <w:sz w:val="24"/>
          <w:szCs w:val="24"/>
        </w:rPr>
        <w:t xml:space="preserve"> essere prova di autonomia, di libertà, di capacità di non condizionamento. </w:t>
      </w:r>
      <w:r w:rsidR="00745F77">
        <w:rPr>
          <w:rFonts w:ascii="Garamond" w:hAnsi="Garamond"/>
          <w:sz w:val="24"/>
          <w:szCs w:val="24"/>
        </w:rPr>
        <w:t xml:space="preserve">Ci sarebbe allora da chiedersi quale sia il confine fra l’autonomia di pensiero e l’ostinazione. </w:t>
      </w:r>
      <w:r w:rsidR="00C80E7C">
        <w:rPr>
          <w:rFonts w:ascii="Garamond" w:hAnsi="Garamond"/>
          <w:sz w:val="24"/>
          <w:szCs w:val="24"/>
        </w:rPr>
        <w:t>Vist</w:t>
      </w:r>
      <w:r w:rsidR="00745F77">
        <w:rPr>
          <w:rFonts w:ascii="Garamond" w:hAnsi="Garamond"/>
          <w:sz w:val="24"/>
          <w:szCs w:val="24"/>
        </w:rPr>
        <w:t>a dal lato del destinatario</w:t>
      </w:r>
      <w:r w:rsidR="00C80E7C">
        <w:rPr>
          <w:rFonts w:ascii="Garamond" w:hAnsi="Garamond"/>
          <w:sz w:val="24"/>
          <w:szCs w:val="24"/>
        </w:rPr>
        <w:t xml:space="preserve">, la persuasione può essere letta come una forma di eteronomia, </w:t>
      </w:r>
      <w:proofErr w:type="spellStart"/>
      <w:r w:rsidR="00C80E7C">
        <w:rPr>
          <w:rFonts w:ascii="Garamond" w:hAnsi="Garamond"/>
          <w:sz w:val="24"/>
          <w:szCs w:val="24"/>
        </w:rPr>
        <w:t>ammenoché</w:t>
      </w:r>
      <w:proofErr w:type="spellEnd"/>
      <w:r w:rsidR="00C80E7C">
        <w:rPr>
          <w:rFonts w:ascii="Garamond" w:hAnsi="Garamond"/>
          <w:sz w:val="24"/>
          <w:szCs w:val="24"/>
        </w:rPr>
        <w:t xml:space="preserve"> non vi sia un processo </w:t>
      </w:r>
      <w:proofErr w:type="gramStart"/>
      <w:r w:rsidR="00C80E7C">
        <w:rPr>
          <w:rFonts w:ascii="Garamond" w:hAnsi="Garamond"/>
          <w:sz w:val="24"/>
          <w:szCs w:val="24"/>
        </w:rPr>
        <w:t xml:space="preserve">di </w:t>
      </w:r>
      <w:proofErr w:type="gramEnd"/>
      <w:r w:rsidR="00C80E7C">
        <w:rPr>
          <w:rFonts w:ascii="Garamond" w:hAnsi="Garamond"/>
          <w:sz w:val="24"/>
          <w:szCs w:val="24"/>
        </w:rPr>
        <w:t xml:space="preserve">interiorizzazione della norma, come nel caso di Agamennone. </w:t>
      </w:r>
      <w:r w:rsidR="00344516">
        <w:rPr>
          <w:rFonts w:ascii="Garamond" w:hAnsi="Garamond"/>
          <w:sz w:val="24"/>
          <w:szCs w:val="24"/>
        </w:rPr>
        <w:t>S</w:t>
      </w:r>
      <w:r w:rsidR="00770B5C">
        <w:rPr>
          <w:rFonts w:ascii="Garamond" w:hAnsi="Garamond"/>
          <w:sz w:val="24"/>
          <w:szCs w:val="24"/>
        </w:rPr>
        <w:t xml:space="preserve">i potrebbe spingere la domanda oltre, </w:t>
      </w:r>
      <w:r w:rsidR="00344516">
        <w:rPr>
          <w:rFonts w:ascii="Garamond" w:hAnsi="Garamond"/>
          <w:sz w:val="24"/>
          <w:szCs w:val="24"/>
        </w:rPr>
        <w:t>e chiedersi</w:t>
      </w:r>
      <w:r w:rsidR="00770B5C">
        <w:rPr>
          <w:rFonts w:ascii="Garamond" w:hAnsi="Garamond"/>
          <w:sz w:val="24"/>
          <w:szCs w:val="24"/>
        </w:rPr>
        <w:t>: qual è il confine fra l’autonomia e la persuasione</w:t>
      </w:r>
      <w:r w:rsidR="00C80E7C">
        <w:rPr>
          <w:rFonts w:ascii="Garamond" w:hAnsi="Garamond"/>
          <w:sz w:val="24"/>
          <w:szCs w:val="24"/>
        </w:rPr>
        <w:t xml:space="preserve"> (</w:t>
      </w:r>
      <w:proofErr w:type="spellStart"/>
      <w:r w:rsidR="00C80E7C">
        <w:rPr>
          <w:rFonts w:ascii="Garamond" w:hAnsi="Garamond"/>
          <w:sz w:val="24"/>
          <w:szCs w:val="24"/>
        </w:rPr>
        <w:t>eteronomica</w:t>
      </w:r>
      <w:proofErr w:type="spellEnd"/>
      <w:r w:rsidR="00C80E7C">
        <w:rPr>
          <w:rFonts w:ascii="Garamond" w:hAnsi="Garamond"/>
          <w:sz w:val="24"/>
          <w:szCs w:val="24"/>
        </w:rPr>
        <w:t>)</w:t>
      </w:r>
      <w:r w:rsidR="00770B5C">
        <w:rPr>
          <w:rFonts w:ascii="Garamond" w:hAnsi="Garamond"/>
          <w:sz w:val="24"/>
          <w:szCs w:val="24"/>
        </w:rPr>
        <w:t xml:space="preserve">? Con ogni probabilità, </w:t>
      </w:r>
      <w:r w:rsidR="00E2494A">
        <w:rPr>
          <w:rFonts w:ascii="Garamond" w:hAnsi="Garamond"/>
          <w:sz w:val="24"/>
          <w:szCs w:val="24"/>
        </w:rPr>
        <w:t xml:space="preserve">è </w:t>
      </w:r>
      <w:r w:rsidR="00AB1148">
        <w:rPr>
          <w:rFonts w:ascii="Garamond" w:hAnsi="Garamond"/>
          <w:sz w:val="24"/>
          <w:szCs w:val="24"/>
        </w:rPr>
        <w:t>ozioso</w:t>
      </w:r>
      <w:r w:rsidR="00586706">
        <w:rPr>
          <w:rFonts w:ascii="Garamond" w:hAnsi="Garamond"/>
          <w:sz w:val="24"/>
          <w:szCs w:val="24"/>
        </w:rPr>
        <w:t>,</w:t>
      </w:r>
      <w:r w:rsidR="00AB1148">
        <w:rPr>
          <w:rFonts w:ascii="Garamond" w:hAnsi="Garamond"/>
          <w:sz w:val="24"/>
          <w:szCs w:val="24"/>
        </w:rPr>
        <w:t xml:space="preserve"> se non impossibil</w:t>
      </w:r>
      <w:r w:rsidR="00770B5C">
        <w:rPr>
          <w:rFonts w:ascii="Garamond" w:hAnsi="Garamond"/>
          <w:sz w:val="24"/>
          <w:szCs w:val="24"/>
        </w:rPr>
        <w:t>e</w:t>
      </w:r>
      <w:r w:rsidR="00586706">
        <w:rPr>
          <w:rFonts w:ascii="Garamond" w:hAnsi="Garamond"/>
          <w:sz w:val="24"/>
          <w:szCs w:val="24"/>
        </w:rPr>
        <w:t>,</w:t>
      </w:r>
      <w:r w:rsidR="00745F77">
        <w:rPr>
          <w:rFonts w:ascii="Garamond" w:hAnsi="Garamond"/>
          <w:sz w:val="24"/>
          <w:szCs w:val="24"/>
        </w:rPr>
        <w:t xml:space="preserve"> provare</w:t>
      </w:r>
      <w:r w:rsidR="00AB1148">
        <w:rPr>
          <w:rFonts w:ascii="Garamond" w:hAnsi="Garamond"/>
          <w:sz w:val="24"/>
          <w:szCs w:val="24"/>
        </w:rPr>
        <w:t xml:space="preserve"> a</w:t>
      </w:r>
      <w:r w:rsidR="00770B5C">
        <w:rPr>
          <w:rFonts w:ascii="Garamond" w:hAnsi="Garamond"/>
          <w:sz w:val="24"/>
          <w:szCs w:val="24"/>
        </w:rPr>
        <w:t xml:space="preserve"> tracciare i confini dei propri pensieri, lottizzare le </w:t>
      </w:r>
      <w:r w:rsidR="00EF0B45">
        <w:rPr>
          <w:rFonts w:ascii="Garamond" w:hAnsi="Garamond"/>
          <w:sz w:val="24"/>
          <w:szCs w:val="24"/>
        </w:rPr>
        <w:t xml:space="preserve">proprie </w:t>
      </w:r>
      <w:r w:rsidR="00770B5C">
        <w:rPr>
          <w:rFonts w:ascii="Garamond" w:hAnsi="Garamond"/>
          <w:sz w:val="24"/>
          <w:szCs w:val="24"/>
        </w:rPr>
        <w:t>convinzioni</w:t>
      </w:r>
      <w:r w:rsidR="00EF0B45">
        <w:rPr>
          <w:rFonts w:ascii="Garamond" w:hAnsi="Garamond"/>
          <w:sz w:val="24"/>
          <w:szCs w:val="24"/>
        </w:rPr>
        <w:t xml:space="preserve">, </w:t>
      </w:r>
      <w:r w:rsidR="006C0D1C">
        <w:rPr>
          <w:rFonts w:ascii="Garamond" w:hAnsi="Garamond"/>
          <w:sz w:val="24"/>
          <w:szCs w:val="24"/>
        </w:rPr>
        <w:t>mapparle geneticamente</w:t>
      </w:r>
      <w:r w:rsidR="00770B5C">
        <w:rPr>
          <w:rFonts w:ascii="Garamond" w:hAnsi="Garamond"/>
          <w:sz w:val="24"/>
          <w:szCs w:val="24"/>
        </w:rPr>
        <w:t xml:space="preserve">. </w:t>
      </w:r>
      <w:r w:rsidR="009D6A93">
        <w:rPr>
          <w:rFonts w:ascii="Garamond" w:hAnsi="Garamond"/>
          <w:sz w:val="24"/>
          <w:szCs w:val="24"/>
        </w:rPr>
        <w:t xml:space="preserve">Probabilmente, </w:t>
      </w:r>
      <w:r w:rsidR="00586706">
        <w:rPr>
          <w:rFonts w:ascii="Garamond" w:hAnsi="Garamond"/>
          <w:sz w:val="24"/>
          <w:szCs w:val="24"/>
        </w:rPr>
        <w:t xml:space="preserve">alla domanda è possibile rispondere tenendo conto che </w:t>
      </w:r>
      <w:r w:rsidR="00AB1148">
        <w:rPr>
          <w:rFonts w:ascii="Garamond" w:hAnsi="Garamond"/>
          <w:sz w:val="24"/>
          <w:szCs w:val="24"/>
        </w:rPr>
        <w:t>lo scarto</w:t>
      </w:r>
      <w:r w:rsidR="009D6A93">
        <w:rPr>
          <w:rFonts w:ascii="Garamond" w:hAnsi="Garamond"/>
          <w:sz w:val="24"/>
          <w:szCs w:val="24"/>
        </w:rPr>
        <w:t xml:space="preserve"> è di carattere morale. </w:t>
      </w:r>
      <w:proofErr w:type="gramStart"/>
      <w:r w:rsidR="00EF0B45">
        <w:rPr>
          <w:rFonts w:ascii="Garamond" w:hAnsi="Garamond"/>
          <w:sz w:val="24"/>
          <w:szCs w:val="24"/>
        </w:rPr>
        <w:t>Li</w:t>
      </w:r>
      <w:proofErr w:type="gramEnd"/>
      <w:r w:rsidR="00EF0B45">
        <w:rPr>
          <w:rFonts w:ascii="Garamond" w:hAnsi="Garamond"/>
          <w:sz w:val="24"/>
          <w:szCs w:val="24"/>
        </w:rPr>
        <w:t xml:space="preserve"> Vigni sottolinea la ferocia del comportamento di Achille</w:t>
      </w:r>
      <w:r w:rsidR="009D6A93">
        <w:rPr>
          <w:rFonts w:ascii="Garamond" w:hAnsi="Garamond"/>
          <w:sz w:val="24"/>
          <w:szCs w:val="24"/>
        </w:rPr>
        <w:t>. La sua furiosa sete di vendetta è tale da oscurare le ragioni di Atena e da eccedere</w:t>
      </w:r>
      <w:r w:rsidR="00E43358">
        <w:rPr>
          <w:rFonts w:ascii="Garamond" w:hAnsi="Garamond"/>
          <w:sz w:val="24"/>
          <w:szCs w:val="24"/>
        </w:rPr>
        <w:t xml:space="preserve"> il perimetro di</w:t>
      </w:r>
      <w:r w:rsidR="009D6A93">
        <w:rPr>
          <w:rFonts w:ascii="Garamond" w:hAnsi="Garamond"/>
          <w:sz w:val="24"/>
          <w:szCs w:val="24"/>
        </w:rPr>
        <w:t xml:space="preserve"> </w:t>
      </w:r>
      <w:r w:rsidR="00EF0B45">
        <w:rPr>
          <w:rFonts w:ascii="Garamond" w:hAnsi="Garamond"/>
          <w:sz w:val="24"/>
          <w:szCs w:val="24"/>
        </w:rPr>
        <w:t xml:space="preserve">ogni </w:t>
      </w:r>
      <w:r w:rsidR="009D6A93">
        <w:rPr>
          <w:rFonts w:ascii="Garamond" w:hAnsi="Garamond"/>
          <w:sz w:val="24"/>
          <w:szCs w:val="24"/>
        </w:rPr>
        <w:t>risarcimento al danno subìto.</w:t>
      </w:r>
      <w:r w:rsidR="00EF0B45">
        <w:rPr>
          <w:rFonts w:ascii="Garamond" w:hAnsi="Garamond"/>
          <w:sz w:val="24"/>
          <w:szCs w:val="24"/>
        </w:rPr>
        <w:t xml:space="preserve"> Egli sembra attraversato dal </w:t>
      </w:r>
      <w:proofErr w:type="gramStart"/>
      <w:r w:rsidR="00EF0B45">
        <w:rPr>
          <w:rFonts w:ascii="Garamond" w:hAnsi="Garamond"/>
          <w:sz w:val="24"/>
          <w:szCs w:val="24"/>
        </w:rPr>
        <w:t>«</w:t>
      </w:r>
      <w:proofErr w:type="gramEnd"/>
      <w:r w:rsidR="00EF0B45">
        <w:rPr>
          <w:rFonts w:ascii="Garamond" w:hAnsi="Garamond"/>
          <w:sz w:val="24"/>
          <w:szCs w:val="24"/>
        </w:rPr>
        <w:t>venir meno del dialogo interiore»</w:t>
      </w:r>
      <w:r w:rsidR="00BA0FA8">
        <w:rPr>
          <w:rFonts w:ascii="Garamond" w:hAnsi="Garamond"/>
          <w:sz w:val="24"/>
          <w:szCs w:val="24"/>
        </w:rPr>
        <w:t xml:space="preserve">, </w:t>
      </w:r>
      <w:r w:rsidR="00336176">
        <w:rPr>
          <w:rFonts w:ascii="Garamond" w:hAnsi="Garamond"/>
          <w:sz w:val="24"/>
          <w:szCs w:val="24"/>
        </w:rPr>
        <w:t>coincidente</w:t>
      </w:r>
      <w:r w:rsidR="00BA0FA8">
        <w:rPr>
          <w:rFonts w:ascii="Garamond" w:hAnsi="Garamond"/>
          <w:sz w:val="24"/>
          <w:szCs w:val="24"/>
        </w:rPr>
        <w:t xml:space="preserve"> con la dismisura, con l’ostinazione</w:t>
      </w:r>
      <w:r w:rsidR="00EF0B45">
        <w:rPr>
          <w:rFonts w:ascii="Garamond" w:hAnsi="Garamond"/>
          <w:sz w:val="24"/>
          <w:szCs w:val="24"/>
        </w:rPr>
        <w:t>.</w:t>
      </w:r>
      <w:r w:rsidR="00C80E7C">
        <w:rPr>
          <w:rFonts w:ascii="Garamond" w:hAnsi="Garamond"/>
          <w:sz w:val="24"/>
          <w:szCs w:val="24"/>
        </w:rPr>
        <w:t xml:space="preserve"> </w:t>
      </w:r>
    </w:p>
    <w:p w:rsidR="00C43F09" w:rsidRPr="00BA0FA8" w:rsidRDefault="00BA0FA8" w:rsidP="00BA0FA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La persuasione nell’opera di Eschilo</w:t>
      </w:r>
      <w:r w:rsidRPr="00BA0FA8">
        <w:rPr>
          <w:rFonts w:ascii="Garamond" w:hAnsi="Garamond"/>
          <w:sz w:val="24"/>
          <w:szCs w:val="24"/>
        </w:rPr>
        <w:t xml:space="preserve"> </w:t>
      </w:r>
    </w:p>
    <w:p w:rsidR="00046FB1" w:rsidRDefault="00670FD1" w:rsidP="00670FD1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 passaggio dal poe</w:t>
      </w:r>
      <w:r w:rsidR="009D6A93">
        <w:rPr>
          <w:rFonts w:ascii="Garamond" w:hAnsi="Garamond"/>
          <w:sz w:val="24"/>
          <w:szCs w:val="24"/>
        </w:rPr>
        <w:t>ma omerico all’opera di Eschilo</w:t>
      </w:r>
      <w:r w:rsidR="00694223">
        <w:rPr>
          <w:rFonts w:ascii="Garamond" w:hAnsi="Garamond"/>
          <w:sz w:val="24"/>
          <w:szCs w:val="24"/>
        </w:rPr>
        <w:t>,</w:t>
      </w:r>
      <w:r w:rsidR="009D6A93">
        <w:rPr>
          <w:rFonts w:ascii="Garamond" w:hAnsi="Garamond"/>
          <w:sz w:val="24"/>
          <w:szCs w:val="24"/>
        </w:rPr>
        <w:t xml:space="preserve"> </w:t>
      </w:r>
      <w:r w:rsidR="00327405">
        <w:rPr>
          <w:rFonts w:ascii="Garamond" w:hAnsi="Garamond"/>
          <w:sz w:val="24"/>
          <w:szCs w:val="24"/>
        </w:rPr>
        <w:t xml:space="preserve">oggetto della </w:t>
      </w:r>
      <w:r w:rsidR="00211CAF">
        <w:rPr>
          <w:rFonts w:ascii="Garamond" w:hAnsi="Garamond"/>
          <w:sz w:val="24"/>
          <w:szCs w:val="24"/>
        </w:rPr>
        <w:t>seconda lezione</w:t>
      </w:r>
      <w:r w:rsidR="00327405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emerge una prima </w:t>
      </w:r>
      <w:r w:rsidR="00344516">
        <w:rPr>
          <w:rFonts w:ascii="Garamond" w:hAnsi="Garamond"/>
          <w:sz w:val="24"/>
          <w:szCs w:val="24"/>
        </w:rPr>
        <w:t xml:space="preserve">importante </w:t>
      </w:r>
      <w:r>
        <w:rPr>
          <w:rFonts w:ascii="Garamond" w:hAnsi="Garamond"/>
          <w:sz w:val="24"/>
          <w:szCs w:val="24"/>
        </w:rPr>
        <w:t>differenza. Nel mondo omerico la persuasione presenta marcati caratteri di classe:</w:t>
      </w:r>
      <w:r w:rsidRPr="00670FD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non tutti possono avere accesso alla medesima forma di discorso; il </w:t>
      </w:r>
      <w:proofErr w:type="gramStart"/>
      <w:r>
        <w:rPr>
          <w:rFonts w:ascii="Garamond" w:hAnsi="Garamond"/>
          <w:sz w:val="24"/>
          <w:szCs w:val="24"/>
        </w:rPr>
        <w:t>discorso</w:t>
      </w:r>
      <w:proofErr w:type="gramEnd"/>
      <w:r>
        <w:rPr>
          <w:rFonts w:ascii="Garamond" w:hAnsi="Garamond"/>
          <w:sz w:val="24"/>
          <w:szCs w:val="24"/>
        </w:rPr>
        <w:t xml:space="preserve"> persuasivo è un privilegio per pochi, possibile solo fra persone che occupano la stessa posizione nella gerarchia sociale. È la cosiddetta </w:t>
      </w:r>
      <w:proofErr w:type="gramStart"/>
      <w:r>
        <w:rPr>
          <w:rFonts w:ascii="Garamond" w:hAnsi="Garamond"/>
          <w:sz w:val="24"/>
          <w:szCs w:val="24"/>
        </w:rPr>
        <w:t>«</w:t>
      </w:r>
      <w:proofErr w:type="gramEnd"/>
      <w:r>
        <w:rPr>
          <w:rFonts w:ascii="Garamond" w:hAnsi="Garamond"/>
          <w:sz w:val="24"/>
          <w:szCs w:val="24"/>
        </w:rPr>
        <w:t xml:space="preserve">uguaglianza fra pari». Come </w:t>
      </w:r>
      <w:proofErr w:type="gramStart"/>
      <w:r>
        <w:rPr>
          <w:rFonts w:ascii="Garamond" w:hAnsi="Garamond"/>
          <w:sz w:val="24"/>
          <w:szCs w:val="24"/>
        </w:rPr>
        <w:t>sottolinea</w:t>
      </w:r>
      <w:proofErr w:type="gramEnd"/>
      <w:r>
        <w:rPr>
          <w:rFonts w:ascii="Garamond" w:hAnsi="Garamond"/>
          <w:sz w:val="24"/>
          <w:szCs w:val="24"/>
        </w:rPr>
        <w:t xml:space="preserve"> Li Vigni, nel mondo greco</w:t>
      </w:r>
      <w:r w:rsidR="00211CAF">
        <w:rPr>
          <w:rFonts w:ascii="Garamond" w:hAnsi="Garamond"/>
          <w:sz w:val="24"/>
          <w:szCs w:val="24"/>
        </w:rPr>
        <w:t xml:space="preserve"> infatti</w:t>
      </w:r>
      <w:r>
        <w:rPr>
          <w:rFonts w:ascii="Garamond" w:hAnsi="Garamond"/>
          <w:sz w:val="24"/>
          <w:szCs w:val="24"/>
        </w:rPr>
        <w:t xml:space="preserve"> rapportarsi persuasivamente a qualcuno equivale a </w:t>
      </w:r>
      <w:r w:rsidR="00327405">
        <w:rPr>
          <w:rFonts w:ascii="Garamond" w:hAnsi="Garamond"/>
          <w:sz w:val="24"/>
          <w:szCs w:val="24"/>
        </w:rPr>
        <w:t>riconoscer</w:t>
      </w:r>
      <w:r w:rsidR="009D6A93">
        <w:rPr>
          <w:rFonts w:ascii="Garamond" w:hAnsi="Garamond"/>
          <w:sz w:val="24"/>
          <w:szCs w:val="24"/>
        </w:rPr>
        <w:t>n</w:t>
      </w:r>
      <w:r w:rsidR="00327405">
        <w:rPr>
          <w:rFonts w:ascii="Garamond" w:hAnsi="Garamond"/>
          <w:sz w:val="24"/>
          <w:szCs w:val="24"/>
        </w:rPr>
        <w:t xml:space="preserve">e e </w:t>
      </w:r>
      <w:r>
        <w:rPr>
          <w:rFonts w:ascii="Garamond" w:hAnsi="Garamond"/>
          <w:sz w:val="24"/>
          <w:szCs w:val="24"/>
        </w:rPr>
        <w:t xml:space="preserve">rispettarne il prestigio. </w:t>
      </w:r>
      <w:r w:rsidR="009A0368">
        <w:rPr>
          <w:rFonts w:ascii="Garamond" w:hAnsi="Garamond"/>
          <w:sz w:val="24"/>
          <w:szCs w:val="24"/>
        </w:rPr>
        <w:t xml:space="preserve">Al di fuori della cerchia dei pari, </w:t>
      </w:r>
      <w:r w:rsidR="00327405">
        <w:rPr>
          <w:rFonts w:ascii="Garamond" w:hAnsi="Garamond"/>
          <w:sz w:val="24"/>
          <w:szCs w:val="24"/>
        </w:rPr>
        <w:t xml:space="preserve">la persuasione lascia </w:t>
      </w:r>
      <w:r w:rsidR="009D6A93">
        <w:rPr>
          <w:rFonts w:ascii="Garamond" w:hAnsi="Garamond"/>
          <w:sz w:val="24"/>
          <w:szCs w:val="24"/>
        </w:rPr>
        <w:t xml:space="preserve">invece </w:t>
      </w:r>
      <w:r w:rsidR="00327405">
        <w:rPr>
          <w:rFonts w:ascii="Garamond" w:hAnsi="Garamond"/>
          <w:sz w:val="24"/>
          <w:szCs w:val="24"/>
        </w:rPr>
        <w:t>spazi</w:t>
      </w:r>
      <w:r w:rsidR="009D6A93">
        <w:rPr>
          <w:rFonts w:ascii="Garamond" w:hAnsi="Garamond"/>
          <w:sz w:val="24"/>
          <w:szCs w:val="24"/>
        </w:rPr>
        <w:t>o all</w:t>
      </w:r>
      <w:r w:rsidR="00586706">
        <w:rPr>
          <w:rFonts w:ascii="Garamond" w:hAnsi="Garamond"/>
          <w:sz w:val="24"/>
          <w:szCs w:val="24"/>
        </w:rPr>
        <w:t xml:space="preserve">a </w:t>
      </w:r>
      <w:proofErr w:type="gramStart"/>
      <w:r w:rsidR="00586706">
        <w:rPr>
          <w:rFonts w:ascii="Garamond" w:hAnsi="Garamond"/>
          <w:sz w:val="24"/>
          <w:szCs w:val="24"/>
        </w:rPr>
        <w:t>modalità</w:t>
      </w:r>
      <w:proofErr w:type="gramEnd"/>
      <w:r w:rsidR="00586706">
        <w:rPr>
          <w:rFonts w:ascii="Garamond" w:hAnsi="Garamond"/>
          <w:sz w:val="24"/>
          <w:szCs w:val="24"/>
        </w:rPr>
        <w:t xml:space="preserve"> dell’</w:t>
      </w:r>
      <w:r w:rsidR="009D6A93">
        <w:rPr>
          <w:rFonts w:ascii="Garamond" w:hAnsi="Garamond"/>
          <w:sz w:val="24"/>
          <w:szCs w:val="24"/>
        </w:rPr>
        <w:t xml:space="preserve">ingiunzione: </w:t>
      </w:r>
      <w:r w:rsidR="00AB1148">
        <w:rPr>
          <w:rFonts w:ascii="Garamond" w:hAnsi="Garamond"/>
          <w:sz w:val="24"/>
          <w:szCs w:val="24"/>
        </w:rPr>
        <w:t xml:space="preserve">se </w:t>
      </w:r>
      <w:proofErr w:type="spellStart"/>
      <w:r w:rsidR="00327405">
        <w:rPr>
          <w:rFonts w:ascii="Garamond" w:hAnsi="Garamond"/>
          <w:sz w:val="24"/>
          <w:szCs w:val="24"/>
        </w:rPr>
        <w:t>Odisseo</w:t>
      </w:r>
      <w:proofErr w:type="spellEnd"/>
      <w:r w:rsidR="00327405">
        <w:rPr>
          <w:rFonts w:ascii="Garamond" w:hAnsi="Garamond"/>
          <w:sz w:val="24"/>
          <w:szCs w:val="24"/>
        </w:rPr>
        <w:t xml:space="preserve"> </w:t>
      </w:r>
      <w:r w:rsidR="00D009FE">
        <w:rPr>
          <w:rFonts w:ascii="Garamond" w:hAnsi="Garamond"/>
          <w:sz w:val="24"/>
          <w:szCs w:val="24"/>
        </w:rPr>
        <w:t xml:space="preserve">si rivolge ai suoi pari con parole suadenti, </w:t>
      </w:r>
      <w:r w:rsidR="00AB1148">
        <w:rPr>
          <w:rFonts w:ascii="Garamond" w:hAnsi="Garamond"/>
          <w:sz w:val="24"/>
          <w:szCs w:val="24"/>
        </w:rPr>
        <w:t xml:space="preserve">indirizza </w:t>
      </w:r>
      <w:r w:rsidR="00D009FE">
        <w:rPr>
          <w:rFonts w:ascii="Garamond" w:hAnsi="Garamond"/>
          <w:sz w:val="24"/>
          <w:szCs w:val="24"/>
        </w:rPr>
        <w:t xml:space="preserve">ai suoi inferiori </w:t>
      </w:r>
      <w:r w:rsidR="00586706">
        <w:rPr>
          <w:rFonts w:ascii="Garamond" w:hAnsi="Garamond"/>
          <w:sz w:val="24"/>
          <w:szCs w:val="24"/>
        </w:rPr>
        <w:t>delle</w:t>
      </w:r>
      <w:r w:rsidR="00D009FE">
        <w:rPr>
          <w:rFonts w:ascii="Garamond" w:hAnsi="Garamond"/>
          <w:sz w:val="24"/>
          <w:szCs w:val="24"/>
        </w:rPr>
        <w:t xml:space="preserve"> ingiunzioni.</w:t>
      </w:r>
      <w:r w:rsidR="00046FB1">
        <w:rPr>
          <w:rFonts w:ascii="Garamond" w:hAnsi="Garamond"/>
          <w:sz w:val="24"/>
          <w:szCs w:val="24"/>
        </w:rPr>
        <w:t xml:space="preserve"> Chiaramente, l’ingiunzione non coincide con la persuasione per la semplice ragione che non richiede l’</w:t>
      </w:r>
      <w:r w:rsidR="00745F77">
        <w:rPr>
          <w:rFonts w:ascii="Garamond" w:hAnsi="Garamond"/>
          <w:sz w:val="24"/>
          <w:szCs w:val="24"/>
        </w:rPr>
        <w:t>assenso dei destinatari</w:t>
      </w:r>
      <w:r w:rsidR="00CB6A32">
        <w:rPr>
          <w:rFonts w:ascii="Garamond" w:hAnsi="Garamond"/>
          <w:sz w:val="24"/>
          <w:szCs w:val="24"/>
        </w:rPr>
        <w:t>, ma</w:t>
      </w:r>
      <w:r w:rsidR="00046FB1">
        <w:rPr>
          <w:rFonts w:ascii="Garamond" w:hAnsi="Garamond"/>
          <w:sz w:val="24"/>
          <w:szCs w:val="24"/>
        </w:rPr>
        <w:t xml:space="preserve"> è tale proprio nella misura in cui </w:t>
      </w:r>
      <w:proofErr w:type="gramStart"/>
      <w:r w:rsidR="00046FB1">
        <w:rPr>
          <w:rFonts w:ascii="Garamond" w:hAnsi="Garamond"/>
          <w:sz w:val="24"/>
          <w:szCs w:val="24"/>
        </w:rPr>
        <w:t xml:space="preserve">si </w:t>
      </w:r>
      <w:proofErr w:type="gramEnd"/>
      <w:r w:rsidR="00046FB1">
        <w:rPr>
          <w:rFonts w:ascii="Garamond" w:hAnsi="Garamond"/>
          <w:sz w:val="24"/>
          <w:szCs w:val="24"/>
        </w:rPr>
        <w:t xml:space="preserve">impone al soggetto, il quale è tenuto a rispettarla a prescindere dalla sua </w:t>
      </w:r>
      <w:r w:rsidR="00CB6A32">
        <w:rPr>
          <w:rFonts w:ascii="Garamond" w:hAnsi="Garamond"/>
          <w:sz w:val="24"/>
          <w:szCs w:val="24"/>
        </w:rPr>
        <w:t xml:space="preserve">eventuale </w:t>
      </w:r>
      <w:r w:rsidR="00046FB1">
        <w:rPr>
          <w:rFonts w:ascii="Garamond" w:hAnsi="Garamond"/>
          <w:sz w:val="24"/>
          <w:szCs w:val="24"/>
        </w:rPr>
        <w:t>adesione</w:t>
      </w:r>
      <w:r w:rsidR="00745F77">
        <w:rPr>
          <w:rFonts w:ascii="Garamond" w:hAnsi="Garamond"/>
          <w:sz w:val="24"/>
          <w:szCs w:val="24"/>
        </w:rPr>
        <w:t xml:space="preserve"> al comando</w:t>
      </w:r>
      <w:r w:rsidR="00046FB1">
        <w:rPr>
          <w:rFonts w:ascii="Garamond" w:hAnsi="Garamond"/>
          <w:sz w:val="24"/>
          <w:szCs w:val="24"/>
        </w:rPr>
        <w:t>.</w:t>
      </w:r>
      <w:r w:rsidR="00D009FE">
        <w:rPr>
          <w:rFonts w:ascii="Garamond" w:hAnsi="Garamond"/>
          <w:sz w:val="24"/>
          <w:szCs w:val="24"/>
        </w:rPr>
        <w:t xml:space="preserve"> </w:t>
      </w:r>
      <w:r w:rsidR="00CB6A32">
        <w:rPr>
          <w:rFonts w:ascii="Garamond" w:hAnsi="Garamond"/>
          <w:sz w:val="24"/>
          <w:szCs w:val="24"/>
        </w:rPr>
        <w:t>L’ingiunzione non tratta l’interlocutore come pari, come soggetto pensante,</w:t>
      </w:r>
      <w:r w:rsidR="0032031C">
        <w:rPr>
          <w:rFonts w:ascii="Garamond" w:hAnsi="Garamond"/>
          <w:sz w:val="24"/>
          <w:szCs w:val="24"/>
        </w:rPr>
        <w:t xml:space="preserve"> non vuole conquistarlo e guadagnarlo all’accordo,</w:t>
      </w:r>
      <w:r w:rsidR="00CB6A32">
        <w:rPr>
          <w:rFonts w:ascii="Garamond" w:hAnsi="Garamond"/>
          <w:sz w:val="24"/>
          <w:szCs w:val="24"/>
        </w:rPr>
        <w:t xml:space="preserve"> ma lo tratta da subordinato, come oggetto</w:t>
      </w:r>
      <w:r w:rsidR="0032031C">
        <w:rPr>
          <w:rFonts w:ascii="Garamond" w:hAnsi="Garamond"/>
          <w:sz w:val="24"/>
          <w:szCs w:val="24"/>
        </w:rPr>
        <w:t xml:space="preserve"> cui non è richiesto pensiero</w:t>
      </w:r>
      <w:r w:rsidR="00CB6A32">
        <w:rPr>
          <w:rFonts w:ascii="Garamond" w:hAnsi="Garamond"/>
          <w:sz w:val="24"/>
          <w:szCs w:val="24"/>
        </w:rPr>
        <w:t>.</w:t>
      </w:r>
    </w:p>
    <w:p w:rsidR="00046FB1" w:rsidRDefault="00670FD1" w:rsidP="00670FD1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Diversamente, nell’opera di Eschilo la persuasione non è più prerogativa di pochi, ma </w:t>
      </w:r>
      <w:r w:rsidR="00AB1148">
        <w:rPr>
          <w:rFonts w:ascii="Garamond" w:hAnsi="Garamond"/>
          <w:sz w:val="24"/>
          <w:szCs w:val="24"/>
        </w:rPr>
        <w:t>discorso</w:t>
      </w:r>
      <w:r w:rsidR="00824D11">
        <w:rPr>
          <w:rFonts w:ascii="Garamond" w:hAnsi="Garamond"/>
          <w:sz w:val="24"/>
          <w:szCs w:val="24"/>
        </w:rPr>
        <w:t xml:space="preserve"> </w:t>
      </w:r>
      <w:r w:rsidR="00D009FE">
        <w:rPr>
          <w:rFonts w:ascii="Garamond" w:hAnsi="Garamond"/>
          <w:sz w:val="24"/>
          <w:szCs w:val="24"/>
        </w:rPr>
        <w:t xml:space="preserve">che informa </w:t>
      </w:r>
      <w:r w:rsidR="00211CAF">
        <w:rPr>
          <w:rFonts w:ascii="Garamond" w:hAnsi="Garamond"/>
          <w:sz w:val="24"/>
          <w:szCs w:val="24"/>
        </w:rPr>
        <w:t>la tessitura istituzionale stessa</w:t>
      </w:r>
      <w:r w:rsidR="0032740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della polis. </w:t>
      </w:r>
      <w:r w:rsidR="00344516">
        <w:rPr>
          <w:rFonts w:ascii="Garamond" w:hAnsi="Garamond"/>
          <w:sz w:val="24"/>
          <w:szCs w:val="24"/>
        </w:rPr>
        <w:t>Fra i diversi</w:t>
      </w:r>
      <w:r>
        <w:rPr>
          <w:rFonts w:ascii="Garamond" w:hAnsi="Garamond"/>
          <w:sz w:val="24"/>
          <w:szCs w:val="24"/>
        </w:rPr>
        <w:t xml:space="preserve"> luoghi e stratificazioni di senso</w:t>
      </w:r>
      <w:r w:rsidR="00824D11">
        <w:rPr>
          <w:rFonts w:ascii="Garamond" w:hAnsi="Garamond"/>
          <w:sz w:val="24"/>
          <w:szCs w:val="24"/>
        </w:rPr>
        <w:t xml:space="preserve"> della persuasione</w:t>
      </w:r>
      <w:r w:rsidR="00344516">
        <w:rPr>
          <w:rFonts w:ascii="Garamond" w:hAnsi="Garamond"/>
          <w:sz w:val="24"/>
          <w:szCs w:val="24"/>
        </w:rPr>
        <w:t xml:space="preserve"> messi in luce da </w:t>
      </w:r>
      <w:proofErr w:type="gramStart"/>
      <w:r w:rsidR="00344516">
        <w:rPr>
          <w:rFonts w:ascii="Garamond" w:hAnsi="Garamond"/>
          <w:sz w:val="24"/>
          <w:szCs w:val="24"/>
        </w:rPr>
        <w:t>Li</w:t>
      </w:r>
      <w:proofErr w:type="gramEnd"/>
      <w:r w:rsidR="00344516">
        <w:rPr>
          <w:rFonts w:ascii="Garamond" w:hAnsi="Garamond"/>
          <w:sz w:val="24"/>
          <w:szCs w:val="24"/>
        </w:rPr>
        <w:t xml:space="preserve"> Vigni, essa si dispiega </w:t>
      </w:r>
      <w:r w:rsidR="00AB1148">
        <w:rPr>
          <w:rFonts w:ascii="Garamond" w:hAnsi="Garamond"/>
          <w:sz w:val="24"/>
          <w:szCs w:val="24"/>
        </w:rPr>
        <w:t>infatti</w:t>
      </w:r>
      <w:r w:rsidR="00586706" w:rsidRPr="00586706">
        <w:rPr>
          <w:rFonts w:ascii="Garamond" w:hAnsi="Garamond"/>
          <w:sz w:val="24"/>
          <w:szCs w:val="24"/>
        </w:rPr>
        <w:t xml:space="preserve"> </w:t>
      </w:r>
      <w:r w:rsidR="00586706">
        <w:rPr>
          <w:rFonts w:ascii="Garamond" w:hAnsi="Garamond"/>
          <w:sz w:val="24"/>
          <w:szCs w:val="24"/>
        </w:rPr>
        <w:t>in primo luogo</w:t>
      </w:r>
      <w:r w:rsidR="00AB114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 ambito politico,</w:t>
      </w:r>
      <w:r w:rsidR="00886913">
        <w:rPr>
          <w:rFonts w:ascii="Garamond" w:hAnsi="Garamond"/>
          <w:sz w:val="24"/>
          <w:szCs w:val="24"/>
        </w:rPr>
        <w:t xml:space="preserve"> nella vita istituzionale della polis, come parola pubblica nell’assemblea. Nelle </w:t>
      </w:r>
      <w:r w:rsidR="00886913" w:rsidRPr="009D3E53">
        <w:rPr>
          <w:rFonts w:ascii="Garamond" w:hAnsi="Garamond"/>
          <w:i/>
          <w:sz w:val="24"/>
          <w:szCs w:val="24"/>
        </w:rPr>
        <w:t>Supplici</w:t>
      </w:r>
      <w:r w:rsidR="00886913">
        <w:rPr>
          <w:rFonts w:ascii="Garamond" w:hAnsi="Garamond"/>
          <w:sz w:val="24"/>
          <w:szCs w:val="24"/>
        </w:rPr>
        <w:t xml:space="preserve"> </w:t>
      </w:r>
      <w:r w:rsidR="0088705A">
        <w:rPr>
          <w:rFonts w:ascii="Garamond" w:hAnsi="Garamond"/>
          <w:sz w:val="24"/>
          <w:szCs w:val="24"/>
        </w:rPr>
        <w:t xml:space="preserve">la persuasione </w:t>
      </w:r>
      <w:r w:rsidR="00046FB1">
        <w:rPr>
          <w:rFonts w:ascii="Garamond" w:hAnsi="Garamond"/>
          <w:sz w:val="24"/>
          <w:szCs w:val="24"/>
        </w:rPr>
        <w:t>investe</w:t>
      </w:r>
      <w:r w:rsidR="00886913">
        <w:rPr>
          <w:rFonts w:ascii="Garamond" w:hAnsi="Garamond"/>
          <w:sz w:val="24"/>
          <w:szCs w:val="24"/>
        </w:rPr>
        <w:t xml:space="preserve"> la dialettica fra le giovani donne e il re</w:t>
      </w:r>
      <w:r w:rsidR="0002202B">
        <w:rPr>
          <w:rFonts w:ascii="Garamond" w:hAnsi="Garamond"/>
          <w:sz w:val="24"/>
          <w:szCs w:val="24"/>
        </w:rPr>
        <w:t xml:space="preserve"> di Argo</w:t>
      </w:r>
      <w:r w:rsidR="00886913">
        <w:rPr>
          <w:rFonts w:ascii="Garamond" w:hAnsi="Garamond"/>
          <w:sz w:val="24"/>
          <w:szCs w:val="24"/>
        </w:rPr>
        <w:t xml:space="preserve"> </w:t>
      </w:r>
      <w:proofErr w:type="spellStart"/>
      <w:r w:rsidR="00886913">
        <w:rPr>
          <w:rFonts w:ascii="Garamond" w:hAnsi="Garamond"/>
          <w:sz w:val="24"/>
          <w:szCs w:val="24"/>
        </w:rPr>
        <w:t>Pelasgo</w:t>
      </w:r>
      <w:proofErr w:type="spellEnd"/>
      <w:r w:rsidR="00586706">
        <w:rPr>
          <w:rFonts w:ascii="Garamond" w:hAnsi="Garamond"/>
          <w:sz w:val="24"/>
          <w:szCs w:val="24"/>
        </w:rPr>
        <w:t>: i</w:t>
      </w:r>
      <w:r w:rsidR="009D3E53">
        <w:rPr>
          <w:rFonts w:ascii="Garamond" w:hAnsi="Garamond"/>
          <w:sz w:val="24"/>
          <w:szCs w:val="24"/>
        </w:rPr>
        <w:t xml:space="preserve">l </w:t>
      </w:r>
      <w:proofErr w:type="gramStart"/>
      <w:r w:rsidR="009D3E53">
        <w:rPr>
          <w:rFonts w:ascii="Garamond" w:hAnsi="Garamond"/>
          <w:sz w:val="24"/>
          <w:szCs w:val="24"/>
        </w:rPr>
        <w:t>re</w:t>
      </w:r>
      <w:proofErr w:type="gramEnd"/>
      <w:r w:rsidR="00886913">
        <w:rPr>
          <w:rFonts w:ascii="Garamond" w:hAnsi="Garamond"/>
          <w:sz w:val="24"/>
          <w:szCs w:val="24"/>
        </w:rPr>
        <w:t xml:space="preserve"> invita le prime ad argomentare </w:t>
      </w:r>
      <w:r w:rsidR="002A2303">
        <w:rPr>
          <w:rFonts w:ascii="Garamond" w:hAnsi="Garamond"/>
          <w:sz w:val="24"/>
          <w:szCs w:val="24"/>
        </w:rPr>
        <w:t xml:space="preserve">brevemente </w:t>
      </w:r>
      <w:r w:rsidR="00886913">
        <w:rPr>
          <w:rFonts w:ascii="Garamond" w:hAnsi="Garamond"/>
          <w:sz w:val="24"/>
          <w:szCs w:val="24"/>
        </w:rPr>
        <w:t xml:space="preserve">il proprio diritto d’asilo, </w:t>
      </w:r>
      <w:r w:rsidR="0002202B">
        <w:rPr>
          <w:rFonts w:ascii="Garamond" w:hAnsi="Garamond"/>
          <w:sz w:val="24"/>
          <w:szCs w:val="24"/>
        </w:rPr>
        <w:t>a esporne</w:t>
      </w:r>
      <w:r w:rsidR="009D3E53">
        <w:rPr>
          <w:rFonts w:ascii="Garamond" w:hAnsi="Garamond"/>
          <w:sz w:val="24"/>
          <w:szCs w:val="24"/>
        </w:rPr>
        <w:t xml:space="preserve"> le ragioni</w:t>
      </w:r>
      <w:r w:rsidR="00886913">
        <w:rPr>
          <w:rFonts w:ascii="Garamond" w:hAnsi="Garamond"/>
          <w:sz w:val="24"/>
          <w:szCs w:val="24"/>
        </w:rPr>
        <w:t xml:space="preserve"> </w:t>
      </w:r>
      <w:r w:rsidR="00AB1148">
        <w:rPr>
          <w:rFonts w:ascii="Garamond" w:hAnsi="Garamond"/>
          <w:sz w:val="24"/>
          <w:szCs w:val="24"/>
        </w:rPr>
        <w:t>per farn</w:t>
      </w:r>
      <w:r w:rsidR="00824D11">
        <w:rPr>
          <w:rFonts w:ascii="Garamond" w:hAnsi="Garamond"/>
          <w:sz w:val="24"/>
          <w:szCs w:val="24"/>
        </w:rPr>
        <w:t>e oggetto di</w:t>
      </w:r>
      <w:r w:rsidR="00886913">
        <w:rPr>
          <w:rFonts w:ascii="Garamond" w:hAnsi="Garamond"/>
          <w:sz w:val="24"/>
          <w:szCs w:val="24"/>
        </w:rPr>
        <w:t xml:space="preserve"> </w:t>
      </w:r>
      <w:r w:rsidR="00780294">
        <w:rPr>
          <w:rFonts w:ascii="Garamond" w:hAnsi="Garamond"/>
          <w:sz w:val="24"/>
          <w:szCs w:val="24"/>
        </w:rPr>
        <w:t xml:space="preserve">decisione </w:t>
      </w:r>
      <w:r w:rsidR="00886913">
        <w:rPr>
          <w:rFonts w:ascii="Garamond" w:hAnsi="Garamond"/>
          <w:sz w:val="24"/>
          <w:szCs w:val="24"/>
        </w:rPr>
        <w:t xml:space="preserve">politica. Le </w:t>
      </w:r>
      <w:proofErr w:type="spellStart"/>
      <w:r w:rsidR="0088705A">
        <w:rPr>
          <w:rFonts w:ascii="Garamond" w:hAnsi="Garamond"/>
          <w:sz w:val="24"/>
          <w:szCs w:val="24"/>
        </w:rPr>
        <w:t>Danaidi</w:t>
      </w:r>
      <w:proofErr w:type="spellEnd"/>
      <w:r w:rsidR="00886913">
        <w:rPr>
          <w:rFonts w:ascii="Garamond" w:hAnsi="Garamond"/>
          <w:sz w:val="24"/>
          <w:szCs w:val="24"/>
        </w:rPr>
        <w:t xml:space="preserve">, </w:t>
      </w:r>
      <w:r w:rsidR="009D3E53">
        <w:rPr>
          <w:rFonts w:ascii="Garamond" w:hAnsi="Garamond"/>
          <w:sz w:val="24"/>
          <w:szCs w:val="24"/>
        </w:rPr>
        <w:t>di contro</w:t>
      </w:r>
      <w:r w:rsidR="00886913">
        <w:rPr>
          <w:rFonts w:ascii="Garamond" w:hAnsi="Garamond"/>
          <w:sz w:val="24"/>
          <w:szCs w:val="24"/>
        </w:rPr>
        <w:t xml:space="preserve">, fanno appello alla legge sacra, inscrivono il diritto d’asilo nell’ambito delle norme divine, sottraendo </w:t>
      </w:r>
      <w:r w:rsidR="009D3E53">
        <w:rPr>
          <w:rFonts w:ascii="Garamond" w:hAnsi="Garamond"/>
          <w:sz w:val="24"/>
          <w:szCs w:val="24"/>
        </w:rPr>
        <w:t>per questa via</w:t>
      </w:r>
      <w:r w:rsidR="00886913">
        <w:rPr>
          <w:rFonts w:ascii="Garamond" w:hAnsi="Garamond"/>
          <w:sz w:val="24"/>
          <w:szCs w:val="24"/>
        </w:rPr>
        <w:t xml:space="preserve"> la questione alla competenza decisionale umana. </w:t>
      </w:r>
      <w:r w:rsidR="00780294">
        <w:rPr>
          <w:rFonts w:ascii="Garamond" w:hAnsi="Garamond"/>
          <w:sz w:val="24"/>
          <w:szCs w:val="24"/>
        </w:rPr>
        <w:t xml:space="preserve">La persuasione </w:t>
      </w:r>
      <w:proofErr w:type="gramStart"/>
      <w:r w:rsidR="00780294">
        <w:rPr>
          <w:rFonts w:ascii="Garamond" w:hAnsi="Garamond"/>
          <w:sz w:val="24"/>
          <w:szCs w:val="24"/>
        </w:rPr>
        <w:t xml:space="preserve">si </w:t>
      </w:r>
      <w:proofErr w:type="gramEnd"/>
      <w:r w:rsidR="00780294">
        <w:rPr>
          <w:rFonts w:ascii="Garamond" w:hAnsi="Garamond"/>
          <w:sz w:val="24"/>
          <w:szCs w:val="24"/>
        </w:rPr>
        <w:t xml:space="preserve">inserisce </w:t>
      </w:r>
      <w:r w:rsidR="00694223">
        <w:rPr>
          <w:rFonts w:ascii="Garamond" w:hAnsi="Garamond"/>
          <w:sz w:val="24"/>
          <w:szCs w:val="24"/>
        </w:rPr>
        <w:t xml:space="preserve">qui </w:t>
      </w:r>
      <w:r w:rsidR="00780294">
        <w:rPr>
          <w:rFonts w:ascii="Garamond" w:hAnsi="Garamond"/>
          <w:sz w:val="24"/>
          <w:szCs w:val="24"/>
        </w:rPr>
        <w:t>nella frizione fra l</w:t>
      </w:r>
      <w:r w:rsidR="009D3E53">
        <w:rPr>
          <w:rFonts w:ascii="Garamond" w:hAnsi="Garamond"/>
          <w:sz w:val="24"/>
          <w:szCs w:val="24"/>
        </w:rPr>
        <w:t xml:space="preserve">e leggi </w:t>
      </w:r>
      <w:r w:rsidR="002A2303">
        <w:rPr>
          <w:rFonts w:ascii="Garamond" w:hAnsi="Garamond"/>
          <w:sz w:val="24"/>
          <w:szCs w:val="24"/>
        </w:rPr>
        <w:t>eterne</w:t>
      </w:r>
      <w:r w:rsidR="009D3E53">
        <w:rPr>
          <w:rFonts w:ascii="Garamond" w:hAnsi="Garamond"/>
          <w:sz w:val="24"/>
          <w:szCs w:val="24"/>
        </w:rPr>
        <w:t xml:space="preserve"> invocate dalle supplici </w:t>
      </w:r>
      <w:r w:rsidR="00780294">
        <w:rPr>
          <w:rFonts w:ascii="Garamond" w:hAnsi="Garamond"/>
          <w:sz w:val="24"/>
          <w:szCs w:val="24"/>
        </w:rPr>
        <w:t>e le</w:t>
      </w:r>
      <w:r w:rsidR="009D3E53">
        <w:rPr>
          <w:rFonts w:ascii="Garamond" w:hAnsi="Garamond"/>
          <w:sz w:val="24"/>
          <w:szCs w:val="24"/>
        </w:rPr>
        <w:t xml:space="preserve"> leggi della polis</w:t>
      </w:r>
      <w:r w:rsidR="00046FB1">
        <w:rPr>
          <w:rFonts w:ascii="Garamond" w:hAnsi="Garamond"/>
          <w:sz w:val="24"/>
          <w:szCs w:val="24"/>
        </w:rPr>
        <w:t xml:space="preserve"> difese da </w:t>
      </w:r>
      <w:proofErr w:type="spellStart"/>
      <w:r w:rsidR="00046FB1">
        <w:rPr>
          <w:rFonts w:ascii="Garamond" w:hAnsi="Garamond"/>
          <w:sz w:val="24"/>
          <w:szCs w:val="24"/>
        </w:rPr>
        <w:t>Pelasgo</w:t>
      </w:r>
      <w:proofErr w:type="spellEnd"/>
      <w:r w:rsidR="009D3E53">
        <w:rPr>
          <w:rFonts w:ascii="Garamond" w:hAnsi="Garamond"/>
          <w:sz w:val="24"/>
          <w:szCs w:val="24"/>
        </w:rPr>
        <w:t xml:space="preserve">. </w:t>
      </w:r>
    </w:p>
    <w:p w:rsidR="00886913" w:rsidRDefault="00080F50" w:rsidP="00670FD1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ben vedere, r</w:t>
      </w:r>
      <w:r w:rsidR="00AB1148">
        <w:rPr>
          <w:rFonts w:ascii="Garamond" w:hAnsi="Garamond"/>
          <w:sz w:val="24"/>
          <w:szCs w:val="24"/>
        </w:rPr>
        <w:t xml:space="preserve">endere una questione suscettibile di discorso persuasivo equivale </w:t>
      </w:r>
      <w:r w:rsidR="00586706">
        <w:rPr>
          <w:rFonts w:ascii="Garamond" w:hAnsi="Garamond"/>
          <w:sz w:val="24"/>
          <w:szCs w:val="24"/>
        </w:rPr>
        <w:t>a ritenerla di</w:t>
      </w:r>
      <w:r w:rsidR="00AB1148">
        <w:rPr>
          <w:rFonts w:ascii="Garamond" w:hAnsi="Garamond"/>
          <w:sz w:val="24"/>
          <w:szCs w:val="24"/>
        </w:rPr>
        <w:t xml:space="preserve"> pertinenza umana e politica: essa </w:t>
      </w:r>
      <w:r w:rsidR="00315E9B">
        <w:rPr>
          <w:rFonts w:ascii="Garamond" w:hAnsi="Garamond"/>
          <w:sz w:val="24"/>
          <w:szCs w:val="24"/>
        </w:rPr>
        <w:t>è tolta alla delega de</w:t>
      </w:r>
      <w:r w:rsidR="00586706">
        <w:rPr>
          <w:rFonts w:ascii="Garamond" w:hAnsi="Garamond"/>
          <w:sz w:val="24"/>
          <w:szCs w:val="24"/>
        </w:rPr>
        <w:t xml:space="preserve">lla divinità </w:t>
      </w:r>
      <w:r w:rsidR="00AB1148">
        <w:rPr>
          <w:rFonts w:ascii="Garamond" w:hAnsi="Garamond"/>
          <w:sz w:val="24"/>
          <w:szCs w:val="24"/>
        </w:rPr>
        <w:t>che con ragioni imperscrutabili sceglie e impone</w:t>
      </w:r>
      <w:r w:rsidR="002A2303">
        <w:rPr>
          <w:rFonts w:ascii="Garamond" w:hAnsi="Garamond"/>
          <w:sz w:val="24"/>
          <w:szCs w:val="24"/>
        </w:rPr>
        <w:t>, ed</w:t>
      </w:r>
      <w:r w:rsidR="00AB1148">
        <w:rPr>
          <w:rFonts w:ascii="Garamond" w:hAnsi="Garamond"/>
          <w:sz w:val="24"/>
          <w:szCs w:val="24"/>
        </w:rPr>
        <w:t xml:space="preserve"> è </w:t>
      </w:r>
      <w:r w:rsidR="00315E9B">
        <w:rPr>
          <w:rFonts w:ascii="Garamond" w:hAnsi="Garamond"/>
          <w:sz w:val="24"/>
          <w:szCs w:val="24"/>
        </w:rPr>
        <w:t>ricondotta alla</w:t>
      </w:r>
      <w:r w:rsidR="00AB1148">
        <w:rPr>
          <w:rFonts w:ascii="Garamond" w:hAnsi="Garamond"/>
          <w:sz w:val="24"/>
          <w:szCs w:val="24"/>
        </w:rPr>
        <w:t xml:space="preserve"> competenza umana, </w:t>
      </w:r>
      <w:r w:rsidR="002A2303">
        <w:rPr>
          <w:rFonts w:ascii="Garamond" w:hAnsi="Garamond"/>
          <w:sz w:val="24"/>
          <w:szCs w:val="24"/>
        </w:rPr>
        <w:t xml:space="preserve">della comunità, </w:t>
      </w:r>
      <w:r w:rsidR="00AB1148">
        <w:rPr>
          <w:rFonts w:ascii="Garamond" w:hAnsi="Garamond"/>
          <w:sz w:val="24"/>
          <w:szCs w:val="24"/>
        </w:rPr>
        <w:t xml:space="preserve">che </w:t>
      </w:r>
      <w:r w:rsidR="00586706">
        <w:rPr>
          <w:rFonts w:ascii="Garamond" w:hAnsi="Garamond"/>
          <w:sz w:val="24"/>
          <w:szCs w:val="24"/>
        </w:rPr>
        <w:t xml:space="preserve">discorsivamente </w:t>
      </w:r>
      <w:r w:rsidR="00AB1148">
        <w:rPr>
          <w:rFonts w:ascii="Garamond" w:hAnsi="Garamond"/>
          <w:sz w:val="24"/>
          <w:szCs w:val="24"/>
        </w:rPr>
        <w:t>deve portare ragioni</w:t>
      </w:r>
      <w:r w:rsidR="002A2303">
        <w:rPr>
          <w:rFonts w:ascii="Garamond" w:hAnsi="Garamond"/>
          <w:sz w:val="24"/>
          <w:szCs w:val="24"/>
        </w:rPr>
        <w:t xml:space="preserve"> – </w:t>
      </w:r>
      <w:r w:rsidR="00315E9B">
        <w:rPr>
          <w:rFonts w:ascii="Garamond" w:hAnsi="Garamond"/>
          <w:sz w:val="24"/>
          <w:szCs w:val="24"/>
        </w:rPr>
        <w:t>per definizione</w:t>
      </w:r>
      <w:r w:rsidR="00AB1148">
        <w:rPr>
          <w:rFonts w:ascii="Garamond" w:hAnsi="Garamond"/>
          <w:sz w:val="24"/>
          <w:szCs w:val="24"/>
        </w:rPr>
        <w:t xml:space="preserve"> suscettibili di discussione</w:t>
      </w:r>
      <w:r w:rsidR="002A2303">
        <w:rPr>
          <w:rFonts w:ascii="Garamond" w:hAnsi="Garamond"/>
          <w:sz w:val="24"/>
          <w:szCs w:val="24"/>
        </w:rPr>
        <w:t xml:space="preserve"> – </w:t>
      </w:r>
      <w:r w:rsidR="00745F77">
        <w:rPr>
          <w:rFonts w:ascii="Garamond" w:hAnsi="Garamond"/>
          <w:sz w:val="24"/>
          <w:szCs w:val="24"/>
        </w:rPr>
        <w:t>a difesa del</w:t>
      </w:r>
      <w:r w:rsidR="00AB1148">
        <w:rPr>
          <w:rFonts w:ascii="Garamond" w:hAnsi="Garamond"/>
          <w:sz w:val="24"/>
          <w:szCs w:val="24"/>
        </w:rPr>
        <w:t xml:space="preserve">l’una o </w:t>
      </w:r>
      <w:r w:rsidR="00745F77">
        <w:rPr>
          <w:rFonts w:ascii="Garamond" w:hAnsi="Garamond"/>
          <w:sz w:val="24"/>
          <w:szCs w:val="24"/>
        </w:rPr>
        <w:t>del</w:t>
      </w:r>
      <w:r w:rsidR="00AB1148">
        <w:rPr>
          <w:rFonts w:ascii="Garamond" w:hAnsi="Garamond"/>
          <w:sz w:val="24"/>
          <w:szCs w:val="24"/>
        </w:rPr>
        <w:t xml:space="preserve">l’altra </w:t>
      </w:r>
      <w:proofErr w:type="gramStart"/>
      <w:r w:rsidR="00315E9B">
        <w:rPr>
          <w:rFonts w:ascii="Garamond" w:hAnsi="Garamond"/>
          <w:sz w:val="24"/>
          <w:szCs w:val="24"/>
        </w:rPr>
        <w:t>opzione</w:t>
      </w:r>
      <w:proofErr w:type="gramEnd"/>
      <w:r w:rsidR="00CB6A32">
        <w:rPr>
          <w:rFonts w:ascii="Garamond" w:hAnsi="Garamond"/>
          <w:sz w:val="24"/>
          <w:szCs w:val="24"/>
        </w:rPr>
        <w:t>, senza possibilità di imposizione</w:t>
      </w:r>
      <w:r w:rsidR="00AB1148">
        <w:rPr>
          <w:rFonts w:ascii="Garamond" w:hAnsi="Garamond"/>
          <w:sz w:val="24"/>
          <w:szCs w:val="24"/>
        </w:rPr>
        <w:t>. Co</w:t>
      </w:r>
      <w:r w:rsidR="00C454CA">
        <w:rPr>
          <w:rFonts w:ascii="Garamond" w:hAnsi="Garamond"/>
          <w:sz w:val="24"/>
          <w:szCs w:val="24"/>
        </w:rPr>
        <w:t xml:space="preserve">me a dire che la persuasione è </w:t>
      </w:r>
      <w:r w:rsidR="00AB1148">
        <w:rPr>
          <w:rFonts w:ascii="Garamond" w:hAnsi="Garamond"/>
          <w:sz w:val="24"/>
          <w:szCs w:val="24"/>
        </w:rPr>
        <w:t xml:space="preserve">connaturata ai limiti intrinseci dell’uomo, </w:t>
      </w:r>
      <w:r w:rsidR="00642307">
        <w:rPr>
          <w:rFonts w:ascii="Garamond" w:hAnsi="Garamond"/>
          <w:sz w:val="24"/>
          <w:szCs w:val="24"/>
        </w:rPr>
        <w:t>il quale</w:t>
      </w:r>
      <w:r w:rsidR="00AB1148">
        <w:rPr>
          <w:rFonts w:ascii="Garamond" w:hAnsi="Garamond"/>
          <w:sz w:val="24"/>
          <w:szCs w:val="24"/>
        </w:rPr>
        <w:t xml:space="preserve"> non è </w:t>
      </w:r>
      <w:proofErr w:type="spellStart"/>
      <w:r w:rsidR="00AB1148">
        <w:rPr>
          <w:rFonts w:ascii="Garamond" w:hAnsi="Garamond"/>
          <w:sz w:val="24"/>
          <w:szCs w:val="24"/>
        </w:rPr>
        <w:t>onniscente</w:t>
      </w:r>
      <w:proofErr w:type="spellEnd"/>
      <w:r w:rsidR="00AB1148">
        <w:rPr>
          <w:rFonts w:ascii="Garamond" w:hAnsi="Garamond"/>
          <w:sz w:val="24"/>
          <w:szCs w:val="24"/>
        </w:rPr>
        <w:t xml:space="preserve"> ed è </w:t>
      </w:r>
      <w:r w:rsidR="00642307">
        <w:rPr>
          <w:rFonts w:ascii="Garamond" w:hAnsi="Garamond"/>
          <w:sz w:val="24"/>
          <w:szCs w:val="24"/>
        </w:rPr>
        <w:t xml:space="preserve">naturalmente esposto alla </w:t>
      </w:r>
      <w:r w:rsidR="00046FB1">
        <w:rPr>
          <w:rFonts w:ascii="Garamond" w:hAnsi="Garamond"/>
          <w:sz w:val="24"/>
          <w:szCs w:val="24"/>
        </w:rPr>
        <w:t>contingenza, sicché in ragione di tali limiti</w:t>
      </w:r>
      <w:r w:rsidR="00642307">
        <w:rPr>
          <w:rFonts w:ascii="Garamond" w:hAnsi="Garamond"/>
          <w:sz w:val="24"/>
          <w:szCs w:val="24"/>
        </w:rPr>
        <w:t xml:space="preserve"> egli </w:t>
      </w:r>
      <w:r w:rsidR="00166D23">
        <w:rPr>
          <w:rFonts w:ascii="Garamond" w:hAnsi="Garamond"/>
          <w:sz w:val="24"/>
          <w:szCs w:val="24"/>
        </w:rPr>
        <w:t>è tenuto a</w:t>
      </w:r>
      <w:r w:rsidR="00315E9B">
        <w:rPr>
          <w:rFonts w:ascii="Garamond" w:hAnsi="Garamond"/>
          <w:sz w:val="24"/>
          <w:szCs w:val="24"/>
        </w:rPr>
        <w:t xml:space="preserve"> </w:t>
      </w:r>
      <w:r w:rsidR="0032031C">
        <w:rPr>
          <w:rFonts w:ascii="Garamond" w:hAnsi="Garamond"/>
          <w:sz w:val="24"/>
          <w:szCs w:val="24"/>
        </w:rPr>
        <w:t>perorare le cause sulle quali</w:t>
      </w:r>
      <w:r w:rsidR="00315E9B">
        <w:rPr>
          <w:rFonts w:ascii="Garamond" w:hAnsi="Garamond"/>
          <w:sz w:val="24"/>
          <w:szCs w:val="24"/>
        </w:rPr>
        <w:t xml:space="preserve"> l’accordo non è </w:t>
      </w:r>
      <w:r w:rsidR="00046FB1">
        <w:rPr>
          <w:rFonts w:ascii="Garamond" w:hAnsi="Garamond"/>
          <w:sz w:val="24"/>
          <w:szCs w:val="24"/>
        </w:rPr>
        <w:t>garantito</w:t>
      </w:r>
      <w:r w:rsidR="00642307">
        <w:rPr>
          <w:rFonts w:ascii="Garamond" w:hAnsi="Garamond"/>
          <w:sz w:val="24"/>
          <w:szCs w:val="24"/>
        </w:rPr>
        <w:t xml:space="preserve">, </w:t>
      </w:r>
      <w:proofErr w:type="gramStart"/>
      <w:r w:rsidR="00046FB1">
        <w:rPr>
          <w:rFonts w:ascii="Garamond" w:hAnsi="Garamond"/>
          <w:sz w:val="24"/>
          <w:szCs w:val="24"/>
        </w:rPr>
        <w:t>nonché</w:t>
      </w:r>
      <w:proofErr w:type="gramEnd"/>
      <w:r w:rsidR="00046FB1">
        <w:rPr>
          <w:rFonts w:ascii="Garamond" w:hAnsi="Garamond"/>
          <w:sz w:val="24"/>
          <w:szCs w:val="24"/>
        </w:rPr>
        <w:t xml:space="preserve"> </w:t>
      </w:r>
      <w:r w:rsidR="00642307">
        <w:rPr>
          <w:rFonts w:ascii="Garamond" w:hAnsi="Garamond"/>
          <w:sz w:val="24"/>
          <w:szCs w:val="24"/>
        </w:rPr>
        <w:t>come argomenta</w:t>
      </w:r>
      <w:r w:rsidR="00046FB1">
        <w:rPr>
          <w:rFonts w:ascii="Garamond" w:hAnsi="Garamond"/>
          <w:sz w:val="24"/>
          <w:szCs w:val="24"/>
        </w:rPr>
        <w:t xml:space="preserve">zione </w:t>
      </w:r>
      <w:r w:rsidR="00642307">
        <w:rPr>
          <w:rFonts w:ascii="Garamond" w:hAnsi="Garamond"/>
          <w:sz w:val="24"/>
          <w:szCs w:val="24"/>
        </w:rPr>
        <w:t xml:space="preserve">in favore di una tesi </w:t>
      </w:r>
      <w:r w:rsidR="00315E9B">
        <w:rPr>
          <w:rFonts w:ascii="Garamond" w:hAnsi="Garamond"/>
          <w:sz w:val="24"/>
          <w:szCs w:val="24"/>
        </w:rPr>
        <w:t xml:space="preserve">controversa </w:t>
      </w:r>
      <w:r w:rsidR="00642307">
        <w:rPr>
          <w:rFonts w:ascii="Garamond" w:hAnsi="Garamond"/>
          <w:sz w:val="24"/>
          <w:szCs w:val="24"/>
        </w:rPr>
        <w:t>che deve essere accolta da un’assemblea</w:t>
      </w:r>
      <w:r w:rsidR="00CB6A32">
        <w:rPr>
          <w:rFonts w:ascii="Garamond" w:hAnsi="Garamond"/>
          <w:sz w:val="24"/>
          <w:szCs w:val="24"/>
        </w:rPr>
        <w:t>,</w:t>
      </w:r>
      <w:r w:rsidR="002A2303">
        <w:rPr>
          <w:rFonts w:ascii="Garamond" w:hAnsi="Garamond"/>
          <w:sz w:val="24"/>
          <w:szCs w:val="24"/>
        </w:rPr>
        <w:t xml:space="preserve"> la quale per queste caratteristiche si configura come democratica</w:t>
      </w:r>
      <w:r w:rsidR="00642307">
        <w:rPr>
          <w:rFonts w:ascii="Garamond" w:hAnsi="Garamond"/>
          <w:sz w:val="24"/>
          <w:szCs w:val="24"/>
        </w:rPr>
        <w:t xml:space="preserve">. </w:t>
      </w:r>
      <w:r w:rsidR="00A46648">
        <w:rPr>
          <w:rFonts w:ascii="Garamond" w:hAnsi="Garamond"/>
          <w:sz w:val="24"/>
          <w:szCs w:val="24"/>
        </w:rPr>
        <w:t>Per la sua stessa struttura, che tratta l’interlocutore come soggetto pensante, l</w:t>
      </w:r>
      <w:r w:rsidR="002A2303">
        <w:rPr>
          <w:rFonts w:ascii="Garamond" w:hAnsi="Garamond"/>
          <w:sz w:val="24"/>
          <w:szCs w:val="24"/>
        </w:rPr>
        <w:t>a persuasione intesa come argomentazione non può, infatti, conci</w:t>
      </w:r>
      <w:r w:rsidR="00277CB3">
        <w:rPr>
          <w:rFonts w:ascii="Garamond" w:hAnsi="Garamond"/>
          <w:sz w:val="24"/>
          <w:szCs w:val="24"/>
        </w:rPr>
        <w:t>liarsi con un regime tirannico</w:t>
      </w:r>
      <w:r w:rsidR="002A2303">
        <w:rPr>
          <w:rFonts w:ascii="Garamond" w:hAnsi="Garamond"/>
          <w:sz w:val="24"/>
          <w:szCs w:val="24"/>
        </w:rPr>
        <w:t xml:space="preserve">. </w:t>
      </w:r>
      <w:r w:rsidR="00642307">
        <w:rPr>
          <w:rFonts w:ascii="Garamond" w:hAnsi="Garamond"/>
          <w:sz w:val="24"/>
          <w:szCs w:val="24"/>
        </w:rPr>
        <w:t xml:space="preserve">Di contro, inscrivere </w:t>
      </w:r>
      <w:r w:rsidR="00315E9B">
        <w:rPr>
          <w:rFonts w:ascii="Garamond" w:hAnsi="Garamond"/>
          <w:sz w:val="24"/>
          <w:szCs w:val="24"/>
        </w:rPr>
        <w:t>l</w:t>
      </w:r>
      <w:r w:rsidR="00642307">
        <w:rPr>
          <w:rFonts w:ascii="Garamond" w:hAnsi="Garamond"/>
          <w:sz w:val="24"/>
          <w:szCs w:val="24"/>
        </w:rPr>
        <w:t xml:space="preserve">a questione – come quella portata all’attenzione dalle </w:t>
      </w:r>
      <w:proofErr w:type="spellStart"/>
      <w:r w:rsidR="00642307">
        <w:rPr>
          <w:rFonts w:ascii="Garamond" w:hAnsi="Garamond"/>
          <w:sz w:val="24"/>
          <w:szCs w:val="24"/>
        </w:rPr>
        <w:t>Danaidi</w:t>
      </w:r>
      <w:proofErr w:type="spellEnd"/>
      <w:r w:rsidR="00642307">
        <w:rPr>
          <w:rFonts w:ascii="Garamond" w:hAnsi="Garamond"/>
          <w:sz w:val="24"/>
          <w:szCs w:val="24"/>
        </w:rPr>
        <w:t xml:space="preserve">, se essere accolte o meno </w:t>
      </w:r>
      <w:r w:rsidR="002A2303">
        <w:rPr>
          <w:rFonts w:ascii="Garamond" w:hAnsi="Garamond"/>
          <w:sz w:val="24"/>
          <w:szCs w:val="24"/>
        </w:rPr>
        <w:t>ad</w:t>
      </w:r>
      <w:r w:rsidR="00642307">
        <w:rPr>
          <w:rFonts w:ascii="Garamond" w:hAnsi="Garamond"/>
          <w:sz w:val="24"/>
          <w:szCs w:val="24"/>
        </w:rPr>
        <w:t xml:space="preserve"> Argo – nell’ordine del divino</w:t>
      </w:r>
      <w:r w:rsidR="00315E9B">
        <w:rPr>
          <w:rFonts w:ascii="Garamond" w:hAnsi="Garamond"/>
          <w:sz w:val="24"/>
          <w:szCs w:val="24"/>
        </w:rPr>
        <w:t>,</w:t>
      </w:r>
      <w:r w:rsidR="00642307">
        <w:rPr>
          <w:rFonts w:ascii="Garamond" w:hAnsi="Garamond"/>
          <w:sz w:val="24"/>
          <w:szCs w:val="24"/>
        </w:rPr>
        <w:t xml:space="preserve"> equivale a estrometterla dalla sfera </w:t>
      </w:r>
      <w:r w:rsidR="00315E9B">
        <w:rPr>
          <w:rFonts w:ascii="Garamond" w:hAnsi="Garamond"/>
          <w:sz w:val="24"/>
          <w:szCs w:val="24"/>
        </w:rPr>
        <w:t>del discutibile</w:t>
      </w:r>
      <w:r w:rsidR="002A2303">
        <w:rPr>
          <w:rFonts w:ascii="Garamond" w:hAnsi="Garamond"/>
          <w:sz w:val="24"/>
          <w:szCs w:val="24"/>
        </w:rPr>
        <w:t xml:space="preserve">, </w:t>
      </w:r>
      <w:r w:rsidR="00315E9B">
        <w:rPr>
          <w:rFonts w:ascii="Garamond" w:hAnsi="Garamond"/>
          <w:sz w:val="24"/>
          <w:szCs w:val="24"/>
        </w:rPr>
        <w:t xml:space="preserve">potenzialmente </w:t>
      </w:r>
      <w:r w:rsidR="00277CB3">
        <w:rPr>
          <w:rFonts w:ascii="Garamond" w:hAnsi="Garamond"/>
          <w:sz w:val="24"/>
          <w:szCs w:val="24"/>
        </w:rPr>
        <w:t xml:space="preserve">così </w:t>
      </w:r>
      <w:r w:rsidR="002A2303">
        <w:rPr>
          <w:rFonts w:ascii="Garamond" w:hAnsi="Garamond"/>
          <w:sz w:val="24"/>
          <w:szCs w:val="24"/>
        </w:rPr>
        <w:t xml:space="preserve">neutralizzando sul nascere la possibilità </w:t>
      </w:r>
      <w:proofErr w:type="gramStart"/>
      <w:r w:rsidR="002A2303">
        <w:rPr>
          <w:rFonts w:ascii="Garamond" w:hAnsi="Garamond"/>
          <w:sz w:val="24"/>
          <w:szCs w:val="24"/>
        </w:rPr>
        <w:t xml:space="preserve">di </w:t>
      </w:r>
      <w:proofErr w:type="gramEnd"/>
      <w:r w:rsidR="00315E9B">
        <w:rPr>
          <w:rFonts w:ascii="Garamond" w:hAnsi="Garamond"/>
          <w:sz w:val="24"/>
          <w:szCs w:val="24"/>
        </w:rPr>
        <w:t>ingiustizie</w:t>
      </w:r>
      <w:r w:rsidR="00046FB1">
        <w:rPr>
          <w:rFonts w:ascii="Garamond" w:hAnsi="Garamond"/>
          <w:sz w:val="24"/>
          <w:szCs w:val="24"/>
        </w:rPr>
        <w:t xml:space="preserve"> </w:t>
      </w:r>
      <w:r w:rsidR="007A5923">
        <w:rPr>
          <w:rFonts w:ascii="Garamond" w:hAnsi="Garamond"/>
          <w:sz w:val="24"/>
          <w:szCs w:val="24"/>
        </w:rPr>
        <w:t>legate all’intervento uman</w:t>
      </w:r>
      <w:r w:rsidR="00A46648">
        <w:rPr>
          <w:rFonts w:ascii="Garamond" w:hAnsi="Garamond"/>
          <w:sz w:val="24"/>
          <w:szCs w:val="24"/>
        </w:rPr>
        <w:t>o</w:t>
      </w:r>
      <w:r w:rsidR="00315E9B">
        <w:rPr>
          <w:rFonts w:ascii="Garamond" w:hAnsi="Garamond"/>
          <w:sz w:val="24"/>
          <w:szCs w:val="24"/>
        </w:rPr>
        <w:t xml:space="preserve">. </w:t>
      </w:r>
      <w:r w:rsidR="0012748C">
        <w:rPr>
          <w:rFonts w:ascii="Garamond" w:hAnsi="Garamond"/>
          <w:sz w:val="24"/>
          <w:szCs w:val="24"/>
        </w:rPr>
        <w:t xml:space="preserve">In questa dialettica viene dunque meno una caratteristica </w:t>
      </w:r>
      <w:r w:rsidR="00C454CA">
        <w:rPr>
          <w:rFonts w:ascii="Garamond" w:hAnsi="Garamond"/>
          <w:sz w:val="24"/>
          <w:szCs w:val="24"/>
        </w:rPr>
        <w:t xml:space="preserve">fondamentale </w:t>
      </w:r>
      <w:r w:rsidR="0012748C">
        <w:rPr>
          <w:rFonts w:ascii="Garamond" w:hAnsi="Garamond"/>
          <w:sz w:val="24"/>
          <w:szCs w:val="24"/>
        </w:rPr>
        <w:t>presente nei poemi omerici, che riserva, come si è detto, l</w:t>
      </w:r>
      <w:r w:rsidR="00C454CA">
        <w:rPr>
          <w:rFonts w:ascii="Garamond" w:hAnsi="Garamond"/>
          <w:sz w:val="24"/>
          <w:szCs w:val="24"/>
        </w:rPr>
        <w:t xml:space="preserve">a persuasione ai pari: da appannaggio di pochi, essa </w:t>
      </w:r>
      <w:r w:rsidR="00A46648">
        <w:rPr>
          <w:rFonts w:ascii="Garamond" w:hAnsi="Garamond"/>
          <w:sz w:val="24"/>
          <w:szCs w:val="24"/>
        </w:rPr>
        <w:t>è ora finanche divenuta cifra stessa della democrazia</w:t>
      </w:r>
      <w:r w:rsidR="0012748C">
        <w:rPr>
          <w:rFonts w:ascii="Garamond" w:hAnsi="Garamond"/>
          <w:sz w:val="24"/>
          <w:szCs w:val="24"/>
        </w:rPr>
        <w:t xml:space="preserve">. </w:t>
      </w:r>
    </w:p>
    <w:p w:rsidR="00B906F2" w:rsidRDefault="00670FD1" w:rsidP="00584E4D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secondo luogo, </w:t>
      </w:r>
      <w:r w:rsidR="009D3E53">
        <w:rPr>
          <w:rFonts w:ascii="Garamond" w:hAnsi="Garamond"/>
          <w:sz w:val="24"/>
          <w:szCs w:val="24"/>
        </w:rPr>
        <w:t xml:space="preserve">la persuasione </w:t>
      </w:r>
      <w:r>
        <w:rPr>
          <w:rFonts w:ascii="Garamond" w:hAnsi="Garamond"/>
          <w:sz w:val="24"/>
          <w:szCs w:val="24"/>
        </w:rPr>
        <w:t>investe l’ambito eroti</w:t>
      </w:r>
      <w:r w:rsidR="0088705A">
        <w:rPr>
          <w:rFonts w:ascii="Garamond" w:hAnsi="Garamond"/>
          <w:sz w:val="24"/>
          <w:szCs w:val="24"/>
        </w:rPr>
        <w:t xml:space="preserve">co, </w:t>
      </w:r>
      <w:proofErr w:type="gramStart"/>
      <w:r w:rsidR="00780294">
        <w:rPr>
          <w:rFonts w:ascii="Garamond" w:hAnsi="Garamond"/>
          <w:sz w:val="24"/>
          <w:szCs w:val="24"/>
        </w:rPr>
        <w:t>nel contesto d</w:t>
      </w:r>
      <w:r w:rsidR="0088705A">
        <w:rPr>
          <w:rFonts w:ascii="Garamond" w:hAnsi="Garamond"/>
          <w:sz w:val="24"/>
          <w:szCs w:val="24"/>
        </w:rPr>
        <w:t>i</w:t>
      </w:r>
      <w:proofErr w:type="gramEnd"/>
      <w:r w:rsidR="0088705A">
        <w:rPr>
          <w:rFonts w:ascii="Garamond" w:hAnsi="Garamond"/>
          <w:sz w:val="24"/>
          <w:szCs w:val="24"/>
        </w:rPr>
        <w:t xml:space="preserve"> una</w:t>
      </w:r>
      <w:r>
        <w:rPr>
          <w:rFonts w:ascii="Garamond" w:hAnsi="Garamond"/>
          <w:sz w:val="24"/>
          <w:szCs w:val="24"/>
        </w:rPr>
        <w:t xml:space="preserve"> compiuta subordinazione delle donne. </w:t>
      </w:r>
      <w:r w:rsidR="004636D6">
        <w:rPr>
          <w:rFonts w:ascii="Garamond" w:hAnsi="Garamond"/>
          <w:sz w:val="24"/>
          <w:szCs w:val="24"/>
        </w:rPr>
        <w:t>A queste ultime</w:t>
      </w:r>
      <w:r w:rsidR="0012748C">
        <w:rPr>
          <w:rFonts w:ascii="Garamond" w:hAnsi="Garamond"/>
          <w:sz w:val="24"/>
          <w:szCs w:val="24"/>
        </w:rPr>
        <w:t>, osserva la docente,</w:t>
      </w:r>
      <w:r w:rsidR="004636D6">
        <w:rPr>
          <w:rFonts w:ascii="Garamond" w:hAnsi="Garamond"/>
          <w:sz w:val="24"/>
          <w:szCs w:val="24"/>
        </w:rPr>
        <w:t xml:space="preserve"> </w:t>
      </w:r>
      <w:proofErr w:type="spellStart"/>
      <w:r w:rsidR="004636D6">
        <w:rPr>
          <w:rFonts w:ascii="Garamond" w:hAnsi="Garamond"/>
          <w:sz w:val="24"/>
          <w:szCs w:val="24"/>
        </w:rPr>
        <w:t>pertiene</w:t>
      </w:r>
      <w:proofErr w:type="spellEnd"/>
      <w:proofErr w:type="gramStart"/>
      <w:r w:rsidR="00780294">
        <w:rPr>
          <w:rFonts w:ascii="Garamond" w:hAnsi="Garamond"/>
          <w:sz w:val="24"/>
          <w:szCs w:val="24"/>
        </w:rPr>
        <w:t xml:space="preserve"> infatti</w:t>
      </w:r>
      <w:proofErr w:type="gramEnd"/>
      <w:r w:rsidR="004636D6">
        <w:rPr>
          <w:rFonts w:ascii="Garamond" w:hAnsi="Garamond"/>
          <w:sz w:val="24"/>
          <w:szCs w:val="24"/>
        </w:rPr>
        <w:t xml:space="preserve"> la </w:t>
      </w:r>
      <w:proofErr w:type="spellStart"/>
      <w:r w:rsidR="004636D6" w:rsidRPr="004636D6">
        <w:rPr>
          <w:rFonts w:ascii="Garamond" w:hAnsi="Garamond"/>
          <w:i/>
          <w:sz w:val="24"/>
          <w:szCs w:val="24"/>
        </w:rPr>
        <w:t>peitharchia</w:t>
      </w:r>
      <w:proofErr w:type="spellEnd"/>
      <w:r w:rsidR="004636D6">
        <w:rPr>
          <w:rFonts w:ascii="Garamond" w:hAnsi="Garamond"/>
          <w:sz w:val="24"/>
          <w:szCs w:val="24"/>
        </w:rPr>
        <w:t>, che è obbedienza e docilità e</w:t>
      </w:r>
      <w:r w:rsidR="00780294">
        <w:rPr>
          <w:rFonts w:ascii="Garamond" w:hAnsi="Garamond"/>
          <w:sz w:val="24"/>
          <w:szCs w:val="24"/>
        </w:rPr>
        <w:t xml:space="preserve"> che</w:t>
      </w:r>
      <w:r w:rsidR="004636D6">
        <w:rPr>
          <w:rFonts w:ascii="Garamond" w:hAnsi="Garamond"/>
          <w:sz w:val="24"/>
          <w:szCs w:val="24"/>
        </w:rPr>
        <w:t xml:space="preserve">, </w:t>
      </w:r>
      <w:r w:rsidR="0088705A">
        <w:rPr>
          <w:rFonts w:ascii="Garamond" w:hAnsi="Garamond"/>
          <w:sz w:val="24"/>
          <w:szCs w:val="24"/>
        </w:rPr>
        <w:t>in termini discorsivi</w:t>
      </w:r>
      <w:r w:rsidR="004636D6">
        <w:rPr>
          <w:rFonts w:ascii="Garamond" w:hAnsi="Garamond"/>
          <w:sz w:val="24"/>
          <w:szCs w:val="24"/>
        </w:rPr>
        <w:t>, si traduce nell’obbligo di tacere che spetta alle donne</w:t>
      </w:r>
      <w:r w:rsidR="002400E1">
        <w:rPr>
          <w:rFonts w:ascii="Garamond" w:hAnsi="Garamond"/>
          <w:sz w:val="24"/>
          <w:szCs w:val="24"/>
        </w:rPr>
        <w:t xml:space="preserve">, </w:t>
      </w:r>
      <w:r w:rsidR="00780294">
        <w:rPr>
          <w:rFonts w:ascii="Garamond" w:hAnsi="Garamond"/>
          <w:sz w:val="24"/>
          <w:szCs w:val="24"/>
        </w:rPr>
        <w:t xml:space="preserve">in virtù della tradizionale istanza di controllo </w:t>
      </w:r>
      <w:r w:rsidR="00694223">
        <w:rPr>
          <w:rFonts w:ascii="Garamond" w:hAnsi="Garamond"/>
          <w:sz w:val="24"/>
          <w:szCs w:val="24"/>
        </w:rPr>
        <w:t>legata al</w:t>
      </w:r>
      <w:r w:rsidR="004636D6">
        <w:rPr>
          <w:rFonts w:ascii="Garamond" w:hAnsi="Garamond"/>
          <w:sz w:val="24"/>
          <w:szCs w:val="24"/>
        </w:rPr>
        <w:t xml:space="preserve"> </w:t>
      </w:r>
      <w:r w:rsidR="002400E1">
        <w:rPr>
          <w:rFonts w:ascii="Garamond" w:hAnsi="Garamond"/>
          <w:sz w:val="24"/>
          <w:szCs w:val="24"/>
        </w:rPr>
        <w:t>«</w:t>
      </w:r>
      <w:r w:rsidR="004636D6">
        <w:rPr>
          <w:rFonts w:ascii="Garamond" w:hAnsi="Garamond"/>
          <w:sz w:val="24"/>
          <w:szCs w:val="24"/>
        </w:rPr>
        <w:t>pericolo del femminile</w:t>
      </w:r>
      <w:r w:rsidR="002400E1">
        <w:rPr>
          <w:rFonts w:ascii="Garamond" w:hAnsi="Garamond"/>
          <w:sz w:val="24"/>
          <w:szCs w:val="24"/>
        </w:rPr>
        <w:t>»</w:t>
      </w:r>
      <w:r w:rsidR="004636D6">
        <w:rPr>
          <w:rFonts w:ascii="Garamond" w:hAnsi="Garamond"/>
          <w:sz w:val="24"/>
          <w:szCs w:val="24"/>
        </w:rPr>
        <w:t xml:space="preserve">. </w:t>
      </w:r>
      <w:r w:rsidR="00B906F2">
        <w:rPr>
          <w:rFonts w:ascii="Garamond" w:hAnsi="Garamond"/>
          <w:sz w:val="24"/>
          <w:szCs w:val="24"/>
        </w:rPr>
        <w:t xml:space="preserve">Almeno due aspetti rendono la persuasione assimilabile alla seduzione erotica: l’aspetto costrittivo e l’elemento </w:t>
      </w:r>
      <w:proofErr w:type="gramStart"/>
      <w:r w:rsidR="00B906F2">
        <w:rPr>
          <w:rFonts w:ascii="Garamond" w:hAnsi="Garamond"/>
          <w:sz w:val="24"/>
          <w:szCs w:val="24"/>
        </w:rPr>
        <w:t xml:space="preserve">di </w:t>
      </w:r>
      <w:proofErr w:type="gramEnd"/>
      <w:r w:rsidR="00B906F2">
        <w:rPr>
          <w:rFonts w:ascii="Garamond" w:hAnsi="Garamond"/>
          <w:sz w:val="24"/>
          <w:szCs w:val="24"/>
        </w:rPr>
        <w:t>inganno. Tanto alla persuasione quanto alla seduzione</w:t>
      </w:r>
      <w:r w:rsidR="00824D11">
        <w:rPr>
          <w:rFonts w:ascii="Garamond" w:hAnsi="Garamond"/>
          <w:sz w:val="24"/>
          <w:szCs w:val="24"/>
        </w:rPr>
        <w:t>, infatti,</w:t>
      </w:r>
      <w:r w:rsidR="00B906F2">
        <w:rPr>
          <w:rFonts w:ascii="Garamond" w:hAnsi="Garamond"/>
          <w:sz w:val="24"/>
          <w:szCs w:val="24"/>
        </w:rPr>
        <w:t xml:space="preserve"> </w:t>
      </w:r>
      <w:r w:rsidR="004B1E56">
        <w:rPr>
          <w:rFonts w:ascii="Garamond" w:hAnsi="Garamond"/>
          <w:sz w:val="24"/>
          <w:szCs w:val="24"/>
        </w:rPr>
        <w:t xml:space="preserve">tendenzialmente </w:t>
      </w:r>
      <w:r w:rsidR="00B906F2">
        <w:rPr>
          <w:rFonts w:ascii="Garamond" w:hAnsi="Garamond"/>
          <w:sz w:val="24"/>
          <w:szCs w:val="24"/>
        </w:rPr>
        <w:t xml:space="preserve">non si può opporre resistenza: di nuovo, si avverte l’elemento della forza, della costrizione, si finisce in qualche modo trascinati. </w:t>
      </w:r>
      <w:r w:rsidR="00780294">
        <w:rPr>
          <w:rFonts w:ascii="Garamond" w:hAnsi="Garamond"/>
          <w:sz w:val="24"/>
          <w:szCs w:val="24"/>
        </w:rPr>
        <w:t xml:space="preserve">Di qui l’estromissione delle donne dalla sfera del discorso, </w:t>
      </w:r>
      <w:r w:rsidR="0088705A">
        <w:rPr>
          <w:rFonts w:ascii="Garamond" w:hAnsi="Garamond"/>
          <w:sz w:val="24"/>
          <w:szCs w:val="24"/>
        </w:rPr>
        <w:t xml:space="preserve">estromissione che </w:t>
      </w:r>
      <w:r w:rsidR="00780294">
        <w:rPr>
          <w:rFonts w:ascii="Garamond" w:hAnsi="Garamond"/>
          <w:sz w:val="24"/>
          <w:szCs w:val="24"/>
        </w:rPr>
        <w:t xml:space="preserve">coincide con il controllo </w:t>
      </w:r>
      <w:r w:rsidR="00584E4D">
        <w:rPr>
          <w:rFonts w:ascii="Garamond" w:hAnsi="Garamond"/>
          <w:sz w:val="24"/>
          <w:szCs w:val="24"/>
        </w:rPr>
        <w:t xml:space="preserve">o l’addomesticamento </w:t>
      </w:r>
      <w:r w:rsidR="0012748C">
        <w:rPr>
          <w:rFonts w:ascii="Garamond" w:hAnsi="Garamond"/>
          <w:sz w:val="24"/>
          <w:szCs w:val="24"/>
        </w:rPr>
        <w:t>da parte maschile della</w:t>
      </w:r>
      <w:r w:rsidR="00780294">
        <w:rPr>
          <w:rFonts w:ascii="Garamond" w:hAnsi="Garamond"/>
          <w:sz w:val="24"/>
          <w:szCs w:val="24"/>
        </w:rPr>
        <w:t xml:space="preserve"> forma di potere</w:t>
      </w:r>
      <w:r w:rsidR="0012748C">
        <w:rPr>
          <w:rFonts w:ascii="Garamond" w:hAnsi="Garamond"/>
          <w:sz w:val="24"/>
          <w:szCs w:val="24"/>
        </w:rPr>
        <w:t xml:space="preserve"> </w:t>
      </w:r>
      <w:r w:rsidR="00B8057A">
        <w:rPr>
          <w:rFonts w:ascii="Garamond" w:hAnsi="Garamond"/>
          <w:sz w:val="24"/>
          <w:szCs w:val="24"/>
        </w:rPr>
        <w:t xml:space="preserve">legata alla titolarità </w:t>
      </w:r>
      <w:proofErr w:type="gramStart"/>
      <w:r w:rsidR="00B8057A">
        <w:rPr>
          <w:rFonts w:ascii="Garamond" w:hAnsi="Garamond"/>
          <w:sz w:val="24"/>
          <w:szCs w:val="24"/>
        </w:rPr>
        <w:t>del</w:t>
      </w:r>
      <w:proofErr w:type="gramEnd"/>
      <w:r w:rsidR="00B8057A">
        <w:rPr>
          <w:rFonts w:ascii="Garamond" w:hAnsi="Garamond"/>
          <w:sz w:val="24"/>
          <w:szCs w:val="24"/>
        </w:rPr>
        <w:t xml:space="preserve"> diritto di</w:t>
      </w:r>
      <w:r w:rsidR="002036C6">
        <w:rPr>
          <w:rFonts w:ascii="Garamond" w:hAnsi="Garamond"/>
          <w:sz w:val="24"/>
          <w:szCs w:val="24"/>
        </w:rPr>
        <w:t xml:space="preserve"> parola</w:t>
      </w:r>
      <w:r w:rsidR="00780294">
        <w:rPr>
          <w:rFonts w:ascii="Garamond" w:hAnsi="Garamond"/>
          <w:sz w:val="24"/>
          <w:szCs w:val="24"/>
        </w:rPr>
        <w:t>.</w:t>
      </w:r>
      <w:r w:rsidR="00584E4D">
        <w:rPr>
          <w:rFonts w:ascii="Garamond" w:hAnsi="Garamond"/>
          <w:sz w:val="24"/>
          <w:szCs w:val="24"/>
        </w:rPr>
        <w:t xml:space="preserve"> Noto qui le tracce </w:t>
      </w:r>
      <w:r w:rsidR="00780294">
        <w:rPr>
          <w:rFonts w:ascii="Garamond" w:hAnsi="Garamond"/>
          <w:sz w:val="24"/>
          <w:szCs w:val="24"/>
        </w:rPr>
        <w:t xml:space="preserve">di quello che </w:t>
      </w:r>
      <w:proofErr w:type="gramStart"/>
      <w:r w:rsidR="003C7B95">
        <w:rPr>
          <w:rFonts w:ascii="Garamond" w:hAnsi="Garamond"/>
          <w:sz w:val="24"/>
          <w:szCs w:val="24"/>
        </w:rPr>
        <w:t>successivamente</w:t>
      </w:r>
      <w:proofErr w:type="gramEnd"/>
      <w:r w:rsidR="003C7B95">
        <w:rPr>
          <w:rFonts w:ascii="Garamond" w:hAnsi="Garamond"/>
          <w:sz w:val="24"/>
          <w:szCs w:val="24"/>
        </w:rPr>
        <w:t xml:space="preserve"> sarà</w:t>
      </w:r>
      <w:r w:rsidR="00780294">
        <w:rPr>
          <w:rFonts w:ascii="Garamond" w:hAnsi="Garamond"/>
          <w:sz w:val="24"/>
          <w:szCs w:val="24"/>
        </w:rPr>
        <w:t xml:space="preserve"> definito «</w:t>
      </w:r>
      <w:proofErr w:type="spellStart"/>
      <w:r w:rsidR="00780294">
        <w:rPr>
          <w:rFonts w:ascii="Garamond" w:hAnsi="Garamond"/>
          <w:sz w:val="24"/>
          <w:szCs w:val="24"/>
        </w:rPr>
        <w:t>fallologocentrismo</w:t>
      </w:r>
      <w:proofErr w:type="spellEnd"/>
      <w:r w:rsidR="00780294">
        <w:rPr>
          <w:rFonts w:ascii="Garamond" w:hAnsi="Garamond"/>
          <w:sz w:val="24"/>
          <w:szCs w:val="24"/>
        </w:rPr>
        <w:t>»</w:t>
      </w:r>
      <w:r w:rsidR="00584E4D">
        <w:rPr>
          <w:rFonts w:ascii="Garamond" w:hAnsi="Garamond"/>
          <w:sz w:val="24"/>
          <w:szCs w:val="24"/>
        </w:rPr>
        <w:t>: il fatto che il potere maschile passi innanzitutto per</w:t>
      </w:r>
      <w:r w:rsidR="0088705A">
        <w:rPr>
          <w:rFonts w:ascii="Garamond" w:hAnsi="Garamond"/>
          <w:sz w:val="24"/>
          <w:szCs w:val="24"/>
        </w:rPr>
        <w:t xml:space="preserve"> un monopolio del</w:t>
      </w:r>
      <w:r w:rsidR="00584E4D">
        <w:rPr>
          <w:rFonts w:ascii="Garamond" w:hAnsi="Garamond"/>
          <w:sz w:val="24"/>
          <w:szCs w:val="24"/>
        </w:rPr>
        <w:t xml:space="preserve"> d</w:t>
      </w:r>
      <w:r w:rsidR="0088705A">
        <w:rPr>
          <w:rFonts w:ascii="Garamond" w:hAnsi="Garamond"/>
          <w:sz w:val="24"/>
          <w:szCs w:val="24"/>
        </w:rPr>
        <w:t>iscorso</w:t>
      </w:r>
      <w:r w:rsidR="00584E4D">
        <w:rPr>
          <w:rFonts w:ascii="Garamond" w:hAnsi="Garamond"/>
          <w:sz w:val="24"/>
          <w:szCs w:val="24"/>
        </w:rPr>
        <w:t xml:space="preserve">. </w:t>
      </w:r>
      <w:r w:rsidR="0012748C">
        <w:rPr>
          <w:rFonts w:ascii="Garamond" w:hAnsi="Garamond"/>
          <w:sz w:val="24"/>
          <w:szCs w:val="24"/>
        </w:rPr>
        <w:t xml:space="preserve">Evidentemente, chi ha titolo di parlare in una società è anche chi </w:t>
      </w:r>
      <w:r w:rsidR="00203521">
        <w:rPr>
          <w:rFonts w:ascii="Garamond" w:hAnsi="Garamond"/>
          <w:sz w:val="24"/>
          <w:szCs w:val="24"/>
        </w:rPr>
        <w:t xml:space="preserve">in essa </w:t>
      </w:r>
      <w:r w:rsidR="0012748C">
        <w:rPr>
          <w:rFonts w:ascii="Garamond" w:hAnsi="Garamond"/>
          <w:sz w:val="24"/>
          <w:szCs w:val="24"/>
        </w:rPr>
        <w:t xml:space="preserve">detiene </w:t>
      </w:r>
      <w:r w:rsidR="00203521">
        <w:rPr>
          <w:rFonts w:ascii="Garamond" w:hAnsi="Garamond"/>
          <w:sz w:val="24"/>
          <w:szCs w:val="24"/>
        </w:rPr>
        <w:t>un</w:t>
      </w:r>
      <w:r w:rsidR="0012748C">
        <w:rPr>
          <w:rFonts w:ascii="Garamond" w:hAnsi="Garamond"/>
          <w:sz w:val="24"/>
          <w:szCs w:val="24"/>
        </w:rPr>
        <w:t xml:space="preserve"> potere. Le donne, in questo </w:t>
      </w:r>
      <w:proofErr w:type="gramStart"/>
      <w:r w:rsidR="0012748C">
        <w:rPr>
          <w:rFonts w:ascii="Garamond" w:hAnsi="Garamond"/>
          <w:sz w:val="24"/>
          <w:szCs w:val="24"/>
        </w:rPr>
        <w:t>contesto</w:t>
      </w:r>
      <w:proofErr w:type="gramEnd"/>
      <w:r w:rsidR="0012748C">
        <w:rPr>
          <w:rFonts w:ascii="Garamond" w:hAnsi="Garamond"/>
          <w:sz w:val="24"/>
          <w:szCs w:val="24"/>
        </w:rPr>
        <w:t>, in quanto prive di parola</w:t>
      </w:r>
      <w:r w:rsidR="00046FB1">
        <w:rPr>
          <w:rFonts w:ascii="Garamond" w:hAnsi="Garamond"/>
          <w:sz w:val="24"/>
          <w:szCs w:val="24"/>
        </w:rPr>
        <w:t>,</w:t>
      </w:r>
      <w:r w:rsidR="003C7B95">
        <w:rPr>
          <w:rFonts w:ascii="Garamond" w:hAnsi="Garamond"/>
          <w:sz w:val="24"/>
          <w:szCs w:val="24"/>
        </w:rPr>
        <w:t xml:space="preserve"> in quanto tolte al discorso</w:t>
      </w:r>
      <w:r w:rsidR="004840A1">
        <w:rPr>
          <w:rFonts w:ascii="Garamond" w:hAnsi="Garamond"/>
          <w:sz w:val="24"/>
          <w:szCs w:val="24"/>
        </w:rPr>
        <w:t>,</w:t>
      </w:r>
      <w:r w:rsidR="0012748C">
        <w:rPr>
          <w:rFonts w:ascii="Garamond" w:hAnsi="Garamond"/>
          <w:sz w:val="24"/>
          <w:szCs w:val="24"/>
        </w:rPr>
        <w:t xml:space="preserve"> sono prive di potere. L’unica forma di </w:t>
      </w:r>
      <w:proofErr w:type="gramStart"/>
      <w:r w:rsidR="0012748C">
        <w:rPr>
          <w:rFonts w:ascii="Garamond" w:hAnsi="Garamond"/>
          <w:sz w:val="24"/>
          <w:szCs w:val="24"/>
        </w:rPr>
        <w:t>potere loro ri</w:t>
      </w:r>
      <w:r w:rsidR="002036C6">
        <w:rPr>
          <w:rFonts w:ascii="Garamond" w:hAnsi="Garamond"/>
          <w:sz w:val="24"/>
          <w:szCs w:val="24"/>
        </w:rPr>
        <w:t>conosciuta</w:t>
      </w:r>
      <w:proofErr w:type="gramEnd"/>
      <w:r w:rsidR="0012748C">
        <w:rPr>
          <w:rFonts w:ascii="Garamond" w:hAnsi="Garamond"/>
          <w:sz w:val="24"/>
          <w:szCs w:val="24"/>
        </w:rPr>
        <w:t xml:space="preserve"> è quella erotica, la quale, per le caratteristiche dette, può essere assimilata a una forma </w:t>
      </w:r>
      <w:r w:rsidR="004A194A">
        <w:rPr>
          <w:rFonts w:ascii="Garamond" w:hAnsi="Garamond"/>
          <w:sz w:val="24"/>
          <w:szCs w:val="24"/>
        </w:rPr>
        <w:t xml:space="preserve">per così dire </w:t>
      </w:r>
      <w:proofErr w:type="spellStart"/>
      <w:r w:rsidR="004A194A">
        <w:rPr>
          <w:rFonts w:ascii="Garamond" w:hAnsi="Garamond"/>
          <w:sz w:val="24"/>
          <w:szCs w:val="24"/>
        </w:rPr>
        <w:t>prediscorsiva</w:t>
      </w:r>
      <w:proofErr w:type="spellEnd"/>
      <w:r w:rsidR="004A194A">
        <w:rPr>
          <w:rFonts w:ascii="Garamond" w:hAnsi="Garamond"/>
          <w:sz w:val="24"/>
          <w:szCs w:val="24"/>
        </w:rPr>
        <w:t xml:space="preserve"> </w:t>
      </w:r>
      <w:r w:rsidR="0012748C">
        <w:rPr>
          <w:rFonts w:ascii="Garamond" w:hAnsi="Garamond"/>
          <w:sz w:val="24"/>
          <w:szCs w:val="24"/>
        </w:rPr>
        <w:t>di persuasione.</w:t>
      </w:r>
    </w:p>
    <w:p w:rsidR="00886913" w:rsidRPr="004636D6" w:rsidRDefault="002A6625" w:rsidP="002A6625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Non mancano, tuttavia, figure femminili che </w:t>
      </w:r>
      <w:r w:rsidR="004A194A">
        <w:rPr>
          <w:rFonts w:ascii="Garamond" w:hAnsi="Garamond"/>
          <w:sz w:val="24"/>
          <w:szCs w:val="24"/>
        </w:rPr>
        <w:t>violano</w:t>
      </w:r>
      <w:r>
        <w:rPr>
          <w:rFonts w:ascii="Garamond" w:hAnsi="Garamond"/>
          <w:sz w:val="24"/>
          <w:szCs w:val="24"/>
        </w:rPr>
        <w:t xml:space="preserve"> </w:t>
      </w:r>
      <w:r w:rsidR="0012748C">
        <w:rPr>
          <w:rFonts w:ascii="Garamond" w:hAnsi="Garamond"/>
          <w:sz w:val="24"/>
          <w:szCs w:val="24"/>
        </w:rPr>
        <w:t>questo</w:t>
      </w:r>
      <w:r>
        <w:rPr>
          <w:rFonts w:ascii="Garamond" w:hAnsi="Garamond"/>
          <w:sz w:val="24"/>
          <w:szCs w:val="24"/>
        </w:rPr>
        <w:t xml:space="preserve"> stato di cose. </w:t>
      </w:r>
      <w:proofErr w:type="gramStart"/>
      <w:r w:rsidR="00584E4D">
        <w:rPr>
          <w:rFonts w:ascii="Garamond" w:hAnsi="Garamond"/>
          <w:sz w:val="24"/>
          <w:szCs w:val="24"/>
        </w:rPr>
        <w:t>Nell’</w:t>
      </w:r>
      <w:r w:rsidR="00584E4D" w:rsidRPr="00584E4D">
        <w:rPr>
          <w:rFonts w:ascii="Garamond" w:hAnsi="Garamond"/>
          <w:i/>
          <w:sz w:val="24"/>
          <w:szCs w:val="24"/>
        </w:rPr>
        <w:t>Agamennone</w:t>
      </w:r>
      <w:proofErr w:type="gramEnd"/>
      <w:r w:rsidR="00584E4D">
        <w:rPr>
          <w:rFonts w:ascii="Garamond" w:hAnsi="Garamond"/>
          <w:sz w:val="24"/>
          <w:szCs w:val="24"/>
        </w:rPr>
        <w:t xml:space="preserve">, la violazione di tale ordine è incarnata fra l’altro dalla figura di </w:t>
      </w:r>
      <w:proofErr w:type="spellStart"/>
      <w:r w:rsidR="00584E4D">
        <w:rPr>
          <w:rFonts w:ascii="Garamond" w:hAnsi="Garamond"/>
          <w:sz w:val="24"/>
          <w:szCs w:val="24"/>
        </w:rPr>
        <w:t>Clitennestra</w:t>
      </w:r>
      <w:proofErr w:type="spellEnd"/>
      <w:r w:rsidR="00584E4D">
        <w:rPr>
          <w:rFonts w:ascii="Garamond" w:hAnsi="Garamond"/>
          <w:sz w:val="24"/>
          <w:szCs w:val="24"/>
        </w:rPr>
        <w:t>, la quale</w:t>
      </w:r>
      <w:r w:rsidR="0012748C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12748C">
        <w:rPr>
          <w:rFonts w:ascii="Garamond" w:hAnsi="Garamond"/>
          <w:sz w:val="24"/>
          <w:szCs w:val="24"/>
        </w:rPr>
        <w:t xml:space="preserve">con l’obiettivo di vendicare il sacrificio della figlia </w:t>
      </w:r>
      <w:proofErr w:type="spellStart"/>
      <w:r w:rsidR="0012748C">
        <w:rPr>
          <w:rFonts w:ascii="Garamond" w:hAnsi="Garamond"/>
          <w:sz w:val="24"/>
          <w:szCs w:val="24"/>
        </w:rPr>
        <w:t>Ifigenia</w:t>
      </w:r>
      <w:proofErr w:type="spellEnd"/>
      <w:r w:rsidR="0012748C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si rivolge al marito </w:t>
      </w:r>
      <w:r w:rsidR="0012748C">
        <w:rPr>
          <w:rFonts w:ascii="Garamond" w:hAnsi="Garamond"/>
          <w:sz w:val="24"/>
          <w:szCs w:val="24"/>
        </w:rPr>
        <w:t xml:space="preserve">inscenando un discorso </w:t>
      </w:r>
      <w:r w:rsidR="00046FB1">
        <w:rPr>
          <w:rFonts w:ascii="Garamond" w:hAnsi="Garamond"/>
          <w:sz w:val="24"/>
          <w:szCs w:val="24"/>
        </w:rPr>
        <w:t>carico di affettazione</w:t>
      </w:r>
      <w:r w:rsidR="0012748C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In tal modo,</w:t>
      </w:r>
      <w:r w:rsidR="00584E4D">
        <w:rPr>
          <w:rFonts w:ascii="Garamond" w:hAnsi="Garamond"/>
          <w:sz w:val="24"/>
          <w:szCs w:val="24"/>
        </w:rPr>
        <w:t xml:space="preserve"> osserva la docente, </w:t>
      </w:r>
      <w:proofErr w:type="spellStart"/>
      <w:r w:rsidR="00584E4D">
        <w:rPr>
          <w:rFonts w:ascii="Garamond" w:hAnsi="Garamond"/>
          <w:sz w:val="24"/>
          <w:szCs w:val="24"/>
        </w:rPr>
        <w:t>Clitennestra</w:t>
      </w:r>
      <w:proofErr w:type="spellEnd"/>
      <w:r w:rsidR="00584E4D">
        <w:rPr>
          <w:rFonts w:ascii="Garamond" w:hAnsi="Garamond"/>
          <w:sz w:val="24"/>
          <w:szCs w:val="24"/>
        </w:rPr>
        <w:t xml:space="preserve"> si appropria di p</w:t>
      </w:r>
      <w:r w:rsidR="004A194A">
        <w:rPr>
          <w:rFonts w:ascii="Garamond" w:hAnsi="Garamond"/>
          <w:sz w:val="24"/>
          <w:szCs w:val="24"/>
        </w:rPr>
        <w:t>rerogative tipicamente maschili,</w:t>
      </w:r>
      <w:r w:rsidR="00584E4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vale a dire </w:t>
      </w:r>
      <w:r w:rsidR="00584E4D">
        <w:rPr>
          <w:rFonts w:ascii="Garamond" w:hAnsi="Garamond"/>
          <w:sz w:val="24"/>
          <w:szCs w:val="24"/>
        </w:rPr>
        <w:t xml:space="preserve">l’arma, ma anche il discorso logico-persuasivo. Agli antipodi di </w:t>
      </w:r>
      <w:proofErr w:type="spellStart"/>
      <w:r w:rsidR="00584E4D">
        <w:rPr>
          <w:rFonts w:ascii="Garamond" w:hAnsi="Garamond"/>
          <w:sz w:val="24"/>
          <w:szCs w:val="24"/>
        </w:rPr>
        <w:t>Clitennestra</w:t>
      </w:r>
      <w:proofErr w:type="spellEnd"/>
      <w:r w:rsidR="00584E4D">
        <w:rPr>
          <w:rFonts w:ascii="Garamond" w:hAnsi="Garamond"/>
          <w:sz w:val="24"/>
          <w:szCs w:val="24"/>
        </w:rPr>
        <w:t xml:space="preserve"> troviamo invece </w:t>
      </w:r>
      <w:r w:rsidR="004636D6">
        <w:rPr>
          <w:rFonts w:ascii="Garamond" w:hAnsi="Garamond"/>
          <w:sz w:val="24"/>
          <w:szCs w:val="24"/>
        </w:rPr>
        <w:t>Elena,</w:t>
      </w:r>
      <w:r w:rsidR="002400E1">
        <w:rPr>
          <w:rFonts w:ascii="Garamond" w:hAnsi="Garamond"/>
          <w:sz w:val="24"/>
          <w:szCs w:val="24"/>
        </w:rPr>
        <w:t xml:space="preserve"> seduttrice</w:t>
      </w:r>
      <w:r w:rsidR="004636D6">
        <w:rPr>
          <w:rFonts w:ascii="Garamond" w:hAnsi="Garamond"/>
          <w:sz w:val="24"/>
          <w:szCs w:val="24"/>
        </w:rPr>
        <w:t xml:space="preserve"> ambigua, che </w:t>
      </w:r>
      <w:proofErr w:type="gramStart"/>
      <w:r w:rsidR="0012748C">
        <w:rPr>
          <w:rFonts w:ascii="Garamond" w:hAnsi="Garamond"/>
          <w:sz w:val="24"/>
          <w:szCs w:val="24"/>
        </w:rPr>
        <w:t>«</w:t>
      </w:r>
      <w:proofErr w:type="gramEnd"/>
      <w:r w:rsidR="004636D6">
        <w:rPr>
          <w:rFonts w:ascii="Garamond" w:hAnsi="Garamond"/>
          <w:sz w:val="24"/>
          <w:szCs w:val="24"/>
        </w:rPr>
        <w:t>complica l’incertezza dei segni</w:t>
      </w:r>
      <w:r w:rsidR="0012748C">
        <w:rPr>
          <w:rFonts w:ascii="Garamond" w:hAnsi="Garamond"/>
          <w:sz w:val="24"/>
          <w:szCs w:val="24"/>
        </w:rPr>
        <w:t>»</w:t>
      </w:r>
      <w:r w:rsidR="004636D6">
        <w:rPr>
          <w:rFonts w:ascii="Garamond" w:hAnsi="Garamond"/>
          <w:sz w:val="24"/>
          <w:szCs w:val="24"/>
        </w:rPr>
        <w:t xml:space="preserve">. Si apre qui la possibilità di </w:t>
      </w:r>
      <w:r w:rsidR="0012748C">
        <w:rPr>
          <w:rFonts w:ascii="Garamond" w:hAnsi="Garamond"/>
          <w:sz w:val="24"/>
          <w:szCs w:val="24"/>
        </w:rPr>
        <w:t>polarizzare in una</w:t>
      </w:r>
      <w:r w:rsidR="004636D6">
        <w:rPr>
          <w:rFonts w:ascii="Garamond" w:hAnsi="Garamond"/>
          <w:sz w:val="24"/>
          <w:szCs w:val="24"/>
        </w:rPr>
        <w:t xml:space="preserve"> dicotomia </w:t>
      </w:r>
      <w:r w:rsidR="0012748C">
        <w:rPr>
          <w:rFonts w:ascii="Garamond" w:hAnsi="Garamond"/>
          <w:sz w:val="24"/>
          <w:szCs w:val="24"/>
        </w:rPr>
        <w:t>il rapporto della persuasione</w:t>
      </w:r>
      <w:r w:rsidR="003B529B">
        <w:rPr>
          <w:rFonts w:ascii="Garamond" w:hAnsi="Garamond"/>
          <w:sz w:val="24"/>
          <w:szCs w:val="24"/>
        </w:rPr>
        <w:t xml:space="preserve"> </w:t>
      </w:r>
      <w:r w:rsidR="004636D6">
        <w:rPr>
          <w:rFonts w:ascii="Garamond" w:hAnsi="Garamond"/>
          <w:sz w:val="24"/>
          <w:szCs w:val="24"/>
        </w:rPr>
        <w:t xml:space="preserve">con </w:t>
      </w:r>
      <w:r w:rsidR="0012748C">
        <w:rPr>
          <w:rFonts w:ascii="Garamond" w:hAnsi="Garamond"/>
          <w:sz w:val="24"/>
          <w:szCs w:val="24"/>
        </w:rPr>
        <w:t xml:space="preserve">la </w:t>
      </w:r>
      <w:r w:rsidR="00A46A1F">
        <w:rPr>
          <w:rFonts w:ascii="Garamond" w:hAnsi="Garamond"/>
          <w:sz w:val="24"/>
          <w:szCs w:val="24"/>
        </w:rPr>
        <w:t>dimensione</w:t>
      </w:r>
      <w:r w:rsidR="0012748C">
        <w:rPr>
          <w:rFonts w:ascii="Garamond" w:hAnsi="Garamond"/>
          <w:sz w:val="24"/>
          <w:szCs w:val="24"/>
        </w:rPr>
        <w:t xml:space="preserve"> femminile </w:t>
      </w:r>
      <w:r w:rsidR="004636D6">
        <w:rPr>
          <w:rFonts w:ascii="Garamond" w:hAnsi="Garamond"/>
          <w:sz w:val="24"/>
          <w:szCs w:val="24"/>
        </w:rPr>
        <w:t xml:space="preserve">nell’opera di Eschilo. </w:t>
      </w:r>
      <w:r w:rsidR="00064998">
        <w:rPr>
          <w:rFonts w:ascii="Garamond" w:hAnsi="Garamond"/>
          <w:sz w:val="24"/>
          <w:szCs w:val="24"/>
        </w:rPr>
        <w:t xml:space="preserve">Da un lato, Elena è l’incarnazione della </w:t>
      </w:r>
      <w:r w:rsidR="003B529B">
        <w:rPr>
          <w:rFonts w:ascii="Garamond" w:hAnsi="Garamond"/>
          <w:sz w:val="24"/>
          <w:szCs w:val="24"/>
        </w:rPr>
        <w:t xml:space="preserve">persuasione come </w:t>
      </w:r>
      <w:r w:rsidR="00064998">
        <w:rPr>
          <w:rFonts w:ascii="Garamond" w:hAnsi="Garamond"/>
          <w:sz w:val="24"/>
          <w:szCs w:val="24"/>
        </w:rPr>
        <w:t>seduzione erotica, dall’altro</w:t>
      </w:r>
      <w:r>
        <w:rPr>
          <w:rFonts w:ascii="Garamond" w:hAnsi="Garamond"/>
          <w:sz w:val="24"/>
          <w:szCs w:val="24"/>
        </w:rPr>
        <w:t>,</w:t>
      </w:r>
      <w:r w:rsidR="00064998">
        <w:rPr>
          <w:rFonts w:ascii="Garamond" w:hAnsi="Garamond"/>
          <w:sz w:val="24"/>
          <w:szCs w:val="24"/>
        </w:rPr>
        <w:t xml:space="preserve"> </w:t>
      </w:r>
      <w:proofErr w:type="spellStart"/>
      <w:r w:rsidR="00064998">
        <w:rPr>
          <w:rFonts w:ascii="Garamond" w:hAnsi="Garamond"/>
          <w:sz w:val="24"/>
          <w:szCs w:val="24"/>
        </w:rPr>
        <w:t>Clitennestra</w:t>
      </w:r>
      <w:proofErr w:type="spellEnd"/>
      <w:r w:rsidR="0006499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ricorre al</w:t>
      </w:r>
      <w:r w:rsidR="00064998">
        <w:rPr>
          <w:rFonts w:ascii="Garamond" w:hAnsi="Garamond"/>
          <w:sz w:val="24"/>
          <w:szCs w:val="24"/>
        </w:rPr>
        <w:t xml:space="preserve">la </w:t>
      </w:r>
      <w:r w:rsidR="003B529B">
        <w:rPr>
          <w:rFonts w:ascii="Garamond" w:hAnsi="Garamond"/>
          <w:sz w:val="24"/>
          <w:szCs w:val="24"/>
        </w:rPr>
        <w:t>persuasione</w:t>
      </w:r>
      <w:r w:rsidR="00064998">
        <w:rPr>
          <w:rFonts w:ascii="Garamond" w:hAnsi="Garamond"/>
          <w:sz w:val="24"/>
          <w:szCs w:val="24"/>
        </w:rPr>
        <w:t xml:space="preserve"> </w:t>
      </w:r>
      <w:proofErr w:type="gramStart"/>
      <w:r w:rsidR="00064998">
        <w:rPr>
          <w:rFonts w:ascii="Garamond" w:hAnsi="Garamond"/>
          <w:sz w:val="24"/>
          <w:szCs w:val="24"/>
        </w:rPr>
        <w:t>coi</w:t>
      </w:r>
      <w:proofErr w:type="gramEnd"/>
      <w:r w:rsidR="00064998">
        <w:rPr>
          <w:rFonts w:ascii="Garamond" w:hAnsi="Garamond"/>
          <w:sz w:val="24"/>
          <w:szCs w:val="24"/>
        </w:rPr>
        <w:t xml:space="preserve"> mezzi maschili del discorso razionale</w:t>
      </w:r>
      <w:r w:rsidR="00D20C48">
        <w:rPr>
          <w:rFonts w:ascii="Garamond" w:hAnsi="Garamond"/>
          <w:sz w:val="24"/>
          <w:szCs w:val="24"/>
        </w:rPr>
        <w:t xml:space="preserve"> e calcolatore</w:t>
      </w:r>
      <w:r w:rsidR="00064998">
        <w:rPr>
          <w:rFonts w:ascii="Garamond" w:hAnsi="Garamond"/>
          <w:sz w:val="24"/>
          <w:szCs w:val="24"/>
        </w:rPr>
        <w:t xml:space="preserve">. </w:t>
      </w:r>
      <w:r w:rsidR="003B529B">
        <w:rPr>
          <w:rFonts w:ascii="Garamond" w:hAnsi="Garamond"/>
          <w:sz w:val="24"/>
          <w:szCs w:val="24"/>
        </w:rPr>
        <w:t xml:space="preserve">Lo scarto fra le due figure si misura nel fatto che, come evidenzia </w:t>
      </w:r>
      <w:proofErr w:type="gramStart"/>
      <w:r w:rsidR="003B529B">
        <w:rPr>
          <w:rFonts w:ascii="Garamond" w:hAnsi="Garamond"/>
          <w:sz w:val="24"/>
          <w:szCs w:val="24"/>
        </w:rPr>
        <w:t>Li</w:t>
      </w:r>
      <w:proofErr w:type="gramEnd"/>
      <w:r w:rsidR="003B529B">
        <w:rPr>
          <w:rFonts w:ascii="Garamond" w:hAnsi="Garamond"/>
          <w:sz w:val="24"/>
          <w:szCs w:val="24"/>
        </w:rPr>
        <w:t xml:space="preserve"> Vigni, </w:t>
      </w:r>
      <w:r w:rsidR="00064998">
        <w:rPr>
          <w:rFonts w:ascii="Garamond" w:hAnsi="Garamond"/>
          <w:sz w:val="24"/>
          <w:szCs w:val="24"/>
        </w:rPr>
        <w:t>«</w:t>
      </w:r>
      <w:r w:rsidR="003B529B">
        <w:rPr>
          <w:rFonts w:ascii="Garamond" w:hAnsi="Garamond"/>
          <w:sz w:val="24"/>
          <w:szCs w:val="24"/>
        </w:rPr>
        <w:t>p</w:t>
      </w:r>
      <w:r w:rsidR="00064998">
        <w:rPr>
          <w:rFonts w:ascii="Garamond" w:hAnsi="Garamond"/>
          <w:sz w:val="24"/>
          <w:szCs w:val="24"/>
        </w:rPr>
        <w:t xml:space="preserve">ur tradendo, Elena rimane nell’ordine delle cose, mentre </w:t>
      </w:r>
      <w:proofErr w:type="spellStart"/>
      <w:r w:rsidR="00064998">
        <w:rPr>
          <w:rFonts w:ascii="Garamond" w:hAnsi="Garamond"/>
          <w:sz w:val="24"/>
          <w:szCs w:val="24"/>
        </w:rPr>
        <w:t>Clitennestra</w:t>
      </w:r>
      <w:proofErr w:type="spellEnd"/>
      <w:r w:rsidR="00064998">
        <w:rPr>
          <w:rFonts w:ascii="Garamond" w:hAnsi="Garamond"/>
          <w:sz w:val="24"/>
          <w:szCs w:val="24"/>
        </w:rPr>
        <w:t xml:space="preserve"> viola quest’ordine».</w:t>
      </w:r>
      <w:r w:rsidR="003B529B">
        <w:rPr>
          <w:rFonts w:ascii="Garamond" w:hAnsi="Garamond"/>
          <w:sz w:val="24"/>
          <w:szCs w:val="24"/>
        </w:rPr>
        <w:t xml:space="preserve"> </w:t>
      </w:r>
      <w:proofErr w:type="spellStart"/>
      <w:r w:rsidR="003B529B">
        <w:rPr>
          <w:rFonts w:ascii="Garamond" w:hAnsi="Garamond"/>
          <w:sz w:val="24"/>
          <w:szCs w:val="24"/>
        </w:rPr>
        <w:t>Clitennestra</w:t>
      </w:r>
      <w:proofErr w:type="spellEnd"/>
      <w:r w:rsidR="003B529B">
        <w:rPr>
          <w:rFonts w:ascii="Garamond" w:hAnsi="Garamond"/>
          <w:sz w:val="24"/>
          <w:szCs w:val="24"/>
        </w:rPr>
        <w:t xml:space="preserve"> viola la regola del s</w:t>
      </w:r>
      <w:r>
        <w:rPr>
          <w:rFonts w:ascii="Garamond" w:hAnsi="Garamond"/>
          <w:sz w:val="24"/>
          <w:szCs w:val="24"/>
        </w:rPr>
        <w:t>ilenzio</w:t>
      </w:r>
      <w:r w:rsidR="00D20C48">
        <w:rPr>
          <w:rFonts w:ascii="Garamond" w:hAnsi="Garamond"/>
          <w:sz w:val="24"/>
          <w:szCs w:val="24"/>
        </w:rPr>
        <w:t>/subordinazione</w:t>
      </w:r>
      <w:r>
        <w:rPr>
          <w:rFonts w:ascii="Garamond" w:hAnsi="Garamond"/>
          <w:sz w:val="24"/>
          <w:szCs w:val="24"/>
        </w:rPr>
        <w:t xml:space="preserve"> femminile, si spinge oltre </w:t>
      </w:r>
      <w:r w:rsidR="00C75511">
        <w:rPr>
          <w:rFonts w:ascii="Garamond" w:hAnsi="Garamond"/>
          <w:sz w:val="24"/>
          <w:szCs w:val="24"/>
        </w:rPr>
        <w:t xml:space="preserve">il perimetro </w:t>
      </w:r>
      <w:r w:rsidR="003B529B">
        <w:rPr>
          <w:rFonts w:ascii="Garamond" w:hAnsi="Garamond"/>
          <w:sz w:val="24"/>
          <w:szCs w:val="24"/>
        </w:rPr>
        <w:t xml:space="preserve">della seduzione erotica </w:t>
      </w:r>
      <w:r w:rsidR="004A194A">
        <w:rPr>
          <w:rFonts w:ascii="Garamond" w:hAnsi="Garamond"/>
          <w:sz w:val="24"/>
          <w:szCs w:val="24"/>
        </w:rPr>
        <w:t xml:space="preserve">che le spetterebbe </w:t>
      </w:r>
      <w:proofErr w:type="gramStart"/>
      <w:r w:rsidR="004A194A">
        <w:rPr>
          <w:rFonts w:ascii="Garamond" w:hAnsi="Garamond"/>
          <w:sz w:val="24"/>
          <w:szCs w:val="24"/>
        </w:rPr>
        <w:t>in quanto</w:t>
      </w:r>
      <w:proofErr w:type="gramEnd"/>
      <w:r w:rsidR="004A194A">
        <w:rPr>
          <w:rFonts w:ascii="Garamond" w:hAnsi="Garamond"/>
          <w:sz w:val="24"/>
          <w:szCs w:val="24"/>
        </w:rPr>
        <w:t xml:space="preserve"> donna</w:t>
      </w:r>
      <w:r w:rsidR="003B529B">
        <w:rPr>
          <w:rFonts w:ascii="Garamond" w:hAnsi="Garamond"/>
          <w:sz w:val="24"/>
          <w:szCs w:val="24"/>
        </w:rPr>
        <w:t xml:space="preserve">, per occupare il territorio maschile </w:t>
      </w:r>
      <w:r w:rsidR="00D20C48">
        <w:rPr>
          <w:rFonts w:ascii="Garamond" w:hAnsi="Garamond"/>
          <w:sz w:val="24"/>
          <w:szCs w:val="24"/>
        </w:rPr>
        <w:t xml:space="preserve">appropriandosi dei mezzi del </w:t>
      </w:r>
      <w:r w:rsidR="003B529B">
        <w:rPr>
          <w:rFonts w:ascii="Garamond" w:hAnsi="Garamond"/>
          <w:sz w:val="24"/>
          <w:szCs w:val="24"/>
        </w:rPr>
        <w:t xml:space="preserve">discorso. </w:t>
      </w:r>
      <w:r w:rsidR="004A194A">
        <w:rPr>
          <w:rFonts w:ascii="Garamond" w:hAnsi="Garamond"/>
          <w:sz w:val="24"/>
          <w:szCs w:val="24"/>
        </w:rPr>
        <w:t>Le asimmetrie nel</w:t>
      </w:r>
      <w:r w:rsidR="00286C27">
        <w:rPr>
          <w:rFonts w:ascii="Garamond" w:hAnsi="Garamond"/>
          <w:sz w:val="24"/>
          <w:szCs w:val="24"/>
        </w:rPr>
        <w:t xml:space="preserve"> dispiegarsi della titolarità del diritto </w:t>
      </w:r>
      <w:proofErr w:type="gramStart"/>
      <w:r w:rsidR="00286C27">
        <w:rPr>
          <w:rFonts w:ascii="Garamond" w:hAnsi="Garamond"/>
          <w:sz w:val="24"/>
          <w:szCs w:val="24"/>
        </w:rPr>
        <w:t>di</w:t>
      </w:r>
      <w:proofErr w:type="gramEnd"/>
      <w:r w:rsidR="004A194A">
        <w:rPr>
          <w:rFonts w:ascii="Garamond" w:hAnsi="Garamond"/>
          <w:sz w:val="24"/>
          <w:szCs w:val="24"/>
        </w:rPr>
        <w:t xml:space="preserve"> persuasione</w:t>
      </w:r>
      <w:r w:rsidR="00286C27">
        <w:rPr>
          <w:rFonts w:ascii="Garamond" w:hAnsi="Garamond"/>
          <w:sz w:val="24"/>
          <w:szCs w:val="24"/>
        </w:rPr>
        <w:t>, se così si può dire,</w:t>
      </w:r>
      <w:r w:rsidR="004A194A">
        <w:rPr>
          <w:rFonts w:ascii="Garamond" w:hAnsi="Garamond"/>
          <w:sz w:val="24"/>
          <w:szCs w:val="24"/>
        </w:rPr>
        <w:t xml:space="preserve"> riflettono dunque le asimmetrie di potere nella società del tempo.</w:t>
      </w:r>
    </w:p>
    <w:p w:rsidR="00670FD1" w:rsidRDefault="00670FD1" w:rsidP="00670FD1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Infine, </w:t>
      </w:r>
      <w:r w:rsidR="00584E4D">
        <w:rPr>
          <w:rFonts w:ascii="Garamond" w:hAnsi="Garamond"/>
          <w:sz w:val="24"/>
          <w:szCs w:val="24"/>
        </w:rPr>
        <w:t xml:space="preserve">anche in questo </w:t>
      </w:r>
      <w:proofErr w:type="gramStart"/>
      <w:r w:rsidR="00584E4D">
        <w:rPr>
          <w:rFonts w:ascii="Garamond" w:hAnsi="Garamond"/>
          <w:sz w:val="24"/>
          <w:szCs w:val="24"/>
        </w:rPr>
        <w:t>contesto</w:t>
      </w:r>
      <w:proofErr w:type="gramEnd"/>
      <w:r w:rsidR="00584E4D">
        <w:rPr>
          <w:rFonts w:ascii="Garamond" w:hAnsi="Garamond"/>
          <w:sz w:val="24"/>
          <w:szCs w:val="24"/>
        </w:rPr>
        <w:t xml:space="preserve"> </w:t>
      </w:r>
      <w:r w:rsidR="00133D8E">
        <w:rPr>
          <w:rFonts w:ascii="Garamond" w:hAnsi="Garamond"/>
          <w:sz w:val="24"/>
          <w:szCs w:val="24"/>
        </w:rPr>
        <w:t xml:space="preserve">emerge </w:t>
      </w:r>
      <w:r w:rsidR="004A194A">
        <w:rPr>
          <w:rFonts w:ascii="Garamond" w:hAnsi="Garamond"/>
          <w:sz w:val="24"/>
          <w:szCs w:val="24"/>
        </w:rPr>
        <w:t xml:space="preserve">che </w:t>
      </w:r>
      <w:r w:rsidR="00064998">
        <w:rPr>
          <w:rFonts w:ascii="Garamond" w:hAnsi="Garamond"/>
          <w:sz w:val="24"/>
          <w:szCs w:val="24"/>
        </w:rPr>
        <w:t xml:space="preserve">la persuasione </w:t>
      </w:r>
      <w:r w:rsidR="003B529B">
        <w:rPr>
          <w:rFonts w:ascii="Garamond" w:hAnsi="Garamond"/>
          <w:sz w:val="24"/>
          <w:szCs w:val="24"/>
        </w:rPr>
        <w:t>investe</w:t>
      </w:r>
      <w:r>
        <w:rPr>
          <w:rFonts w:ascii="Garamond" w:hAnsi="Garamond"/>
          <w:sz w:val="24"/>
          <w:szCs w:val="24"/>
        </w:rPr>
        <w:t xml:space="preserve"> il rapporto fra uomini e dei</w:t>
      </w:r>
      <w:r w:rsidR="00064998">
        <w:rPr>
          <w:rFonts w:ascii="Garamond" w:hAnsi="Garamond"/>
          <w:sz w:val="24"/>
          <w:szCs w:val="24"/>
        </w:rPr>
        <w:t xml:space="preserve">. Agamennone si lascia persuadere dalla dea a uccidere la figlia </w:t>
      </w:r>
      <w:proofErr w:type="spellStart"/>
      <w:r w:rsidR="00064998">
        <w:rPr>
          <w:rFonts w:ascii="Garamond" w:hAnsi="Garamond"/>
          <w:sz w:val="24"/>
          <w:szCs w:val="24"/>
        </w:rPr>
        <w:t>Ifigenia</w:t>
      </w:r>
      <w:proofErr w:type="spellEnd"/>
      <w:r w:rsidR="00064998">
        <w:rPr>
          <w:rFonts w:ascii="Garamond" w:hAnsi="Garamond"/>
          <w:sz w:val="24"/>
          <w:szCs w:val="24"/>
        </w:rPr>
        <w:t xml:space="preserve"> al punto da spingersi a desiderare</w:t>
      </w:r>
      <w:r w:rsidR="00224C63">
        <w:rPr>
          <w:rFonts w:ascii="Garamond" w:hAnsi="Garamond"/>
          <w:sz w:val="24"/>
          <w:szCs w:val="24"/>
        </w:rPr>
        <w:t xml:space="preserve"> interiormente</w:t>
      </w:r>
      <w:r w:rsidR="00355860">
        <w:rPr>
          <w:rFonts w:ascii="Garamond" w:hAnsi="Garamond"/>
          <w:sz w:val="24"/>
          <w:szCs w:val="24"/>
        </w:rPr>
        <w:t xml:space="preserve"> il male. In questo caso</w:t>
      </w:r>
      <w:r w:rsidR="00064998">
        <w:rPr>
          <w:rFonts w:ascii="Garamond" w:hAnsi="Garamond"/>
          <w:sz w:val="24"/>
          <w:szCs w:val="24"/>
        </w:rPr>
        <w:t xml:space="preserve"> ascoltare la dea </w:t>
      </w:r>
      <w:r w:rsidR="001E5D5D">
        <w:rPr>
          <w:rFonts w:ascii="Garamond" w:hAnsi="Garamond"/>
          <w:sz w:val="24"/>
          <w:szCs w:val="24"/>
        </w:rPr>
        <w:t>rientra nel</w:t>
      </w:r>
      <w:r w:rsidR="00064998">
        <w:rPr>
          <w:rFonts w:ascii="Garamond" w:hAnsi="Garamond"/>
          <w:sz w:val="24"/>
          <w:szCs w:val="24"/>
        </w:rPr>
        <w:t xml:space="preserve"> codice aristocratico: siamo lontani, qui, dall’immagine di </w:t>
      </w:r>
      <w:proofErr w:type="gramStart"/>
      <w:r w:rsidR="00064998">
        <w:rPr>
          <w:rFonts w:ascii="Garamond" w:hAnsi="Garamond"/>
          <w:sz w:val="24"/>
          <w:szCs w:val="24"/>
        </w:rPr>
        <w:t>un Achille</w:t>
      </w:r>
      <w:proofErr w:type="gramEnd"/>
      <w:r w:rsidR="00064998">
        <w:rPr>
          <w:rFonts w:ascii="Garamond" w:hAnsi="Garamond"/>
          <w:sz w:val="24"/>
          <w:szCs w:val="24"/>
        </w:rPr>
        <w:t xml:space="preserve"> </w:t>
      </w:r>
      <w:r w:rsidR="003B529B">
        <w:rPr>
          <w:rFonts w:ascii="Garamond" w:hAnsi="Garamond"/>
          <w:sz w:val="24"/>
          <w:szCs w:val="24"/>
        </w:rPr>
        <w:t xml:space="preserve">che </w:t>
      </w:r>
      <w:r w:rsidR="004A194A">
        <w:rPr>
          <w:rFonts w:ascii="Garamond" w:hAnsi="Garamond"/>
          <w:sz w:val="24"/>
          <w:szCs w:val="24"/>
        </w:rPr>
        <w:t>superbamente ignora</w:t>
      </w:r>
      <w:r w:rsidR="003B529B">
        <w:rPr>
          <w:rFonts w:ascii="Garamond" w:hAnsi="Garamond"/>
          <w:sz w:val="24"/>
          <w:szCs w:val="24"/>
        </w:rPr>
        <w:t xml:space="preserve"> i richiami </w:t>
      </w:r>
      <w:r w:rsidR="00A46A1F">
        <w:rPr>
          <w:rFonts w:ascii="Garamond" w:hAnsi="Garamond"/>
          <w:sz w:val="24"/>
          <w:szCs w:val="24"/>
        </w:rPr>
        <w:t>divini</w:t>
      </w:r>
      <w:r w:rsidR="00064998">
        <w:rPr>
          <w:rFonts w:ascii="Garamond" w:hAnsi="Garamond"/>
          <w:sz w:val="24"/>
          <w:szCs w:val="24"/>
        </w:rPr>
        <w:t>.</w:t>
      </w:r>
      <w:r w:rsidR="003B529B">
        <w:rPr>
          <w:rFonts w:ascii="Garamond" w:hAnsi="Garamond"/>
          <w:sz w:val="24"/>
          <w:szCs w:val="24"/>
        </w:rPr>
        <w:t xml:space="preserve"> Ben lontano da quello che </w:t>
      </w:r>
      <w:proofErr w:type="gramStart"/>
      <w:r w:rsidR="003B529B">
        <w:rPr>
          <w:rFonts w:ascii="Garamond" w:hAnsi="Garamond"/>
          <w:sz w:val="24"/>
          <w:szCs w:val="24"/>
        </w:rPr>
        <w:t>Li</w:t>
      </w:r>
      <w:proofErr w:type="gramEnd"/>
      <w:r w:rsidR="003B529B">
        <w:rPr>
          <w:rFonts w:ascii="Garamond" w:hAnsi="Garamond"/>
          <w:sz w:val="24"/>
          <w:szCs w:val="24"/>
        </w:rPr>
        <w:t xml:space="preserve"> Vigni definisce </w:t>
      </w:r>
      <w:r w:rsidR="00C37450">
        <w:rPr>
          <w:rFonts w:ascii="Garamond" w:hAnsi="Garamond"/>
          <w:sz w:val="24"/>
          <w:szCs w:val="24"/>
        </w:rPr>
        <w:t>«</w:t>
      </w:r>
      <w:r w:rsidR="00224C63">
        <w:rPr>
          <w:rFonts w:ascii="Garamond" w:hAnsi="Garamond"/>
          <w:sz w:val="24"/>
          <w:szCs w:val="24"/>
        </w:rPr>
        <w:t>l’</w:t>
      </w:r>
      <w:r w:rsidR="00C37450">
        <w:rPr>
          <w:rFonts w:ascii="Garamond" w:hAnsi="Garamond"/>
          <w:sz w:val="24"/>
          <w:szCs w:val="24"/>
        </w:rPr>
        <w:t xml:space="preserve">agonismo intrapsichico di Achille», Agamennone interiorizza </w:t>
      </w:r>
      <w:r w:rsidR="00224C63">
        <w:rPr>
          <w:rFonts w:ascii="Garamond" w:hAnsi="Garamond"/>
          <w:sz w:val="24"/>
          <w:szCs w:val="24"/>
        </w:rPr>
        <w:t>il discorso persuasivo divino</w:t>
      </w:r>
      <w:r w:rsidR="00C37450">
        <w:rPr>
          <w:rFonts w:ascii="Garamond" w:hAnsi="Garamond"/>
          <w:sz w:val="24"/>
          <w:szCs w:val="24"/>
        </w:rPr>
        <w:t xml:space="preserve"> fino a farne «manifestazione plastica di autoinganno».</w:t>
      </w:r>
      <w:r w:rsidR="008A7312">
        <w:rPr>
          <w:rFonts w:ascii="Garamond" w:hAnsi="Garamond"/>
          <w:sz w:val="24"/>
          <w:szCs w:val="24"/>
        </w:rPr>
        <w:t xml:space="preserve"> Achille e Agamennone rinviano così a due distinte figure psichiche della persuasione</w:t>
      </w:r>
      <w:r w:rsidR="007A5923">
        <w:rPr>
          <w:rFonts w:ascii="Garamond" w:hAnsi="Garamond"/>
          <w:sz w:val="24"/>
          <w:szCs w:val="24"/>
        </w:rPr>
        <w:t>, addirittura opposte</w:t>
      </w:r>
      <w:r w:rsidR="008A7312">
        <w:rPr>
          <w:rFonts w:ascii="Garamond" w:hAnsi="Garamond"/>
          <w:sz w:val="24"/>
          <w:szCs w:val="24"/>
        </w:rPr>
        <w:t xml:space="preserve">. Achille </w:t>
      </w:r>
      <w:r w:rsidR="003B529B">
        <w:rPr>
          <w:rFonts w:ascii="Garamond" w:hAnsi="Garamond"/>
          <w:sz w:val="24"/>
          <w:szCs w:val="24"/>
        </w:rPr>
        <w:t>è il</w:t>
      </w:r>
      <w:r w:rsidR="008A7312">
        <w:rPr>
          <w:rFonts w:ascii="Garamond" w:hAnsi="Garamond"/>
          <w:sz w:val="24"/>
          <w:szCs w:val="24"/>
        </w:rPr>
        <w:t xml:space="preserve"> monologo interiore chiuso alla voce della dea</w:t>
      </w:r>
      <w:r w:rsidR="00224C63">
        <w:rPr>
          <w:rFonts w:ascii="Garamond" w:hAnsi="Garamond"/>
          <w:sz w:val="24"/>
          <w:szCs w:val="24"/>
        </w:rPr>
        <w:t>,</w:t>
      </w:r>
      <w:r w:rsidR="003B529B">
        <w:rPr>
          <w:rFonts w:ascii="Garamond" w:hAnsi="Garamond"/>
          <w:sz w:val="24"/>
          <w:szCs w:val="24"/>
        </w:rPr>
        <w:t xml:space="preserve"> impermeabile agli effetti persuasivi</w:t>
      </w:r>
      <w:r w:rsidR="008A7312">
        <w:rPr>
          <w:rFonts w:ascii="Garamond" w:hAnsi="Garamond"/>
          <w:sz w:val="24"/>
          <w:szCs w:val="24"/>
        </w:rPr>
        <w:t>. Agamennone</w:t>
      </w:r>
      <w:r w:rsidR="003B529B">
        <w:rPr>
          <w:rFonts w:ascii="Garamond" w:hAnsi="Garamond"/>
          <w:sz w:val="24"/>
          <w:szCs w:val="24"/>
        </w:rPr>
        <w:t xml:space="preserve"> </w:t>
      </w:r>
      <w:r w:rsidR="00017ED2">
        <w:rPr>
          <w:rFonts w:ascii="Garamond" w:hAnsi="Garamond"/>
          <w:sz w:val="24"/>
          <w:szCs w:val="24"/>
        </w:rPr>
        <w:t>è l’</w:t>
      </w:r>
      <w:proofErr w:type="gramStart"/>
      <w:r w:rsidR="00017ED2">
        <w:rPr>
          <w:rFonts w:ascii="Garamond" w:hAnsi="Garamond"/>
          <w:sz w:val="24"/>
          <w:szCs w:val="24"/>
        </w:rPr>
        <w:t>interiorizzazione</w:t>
      </w:r>
      <w:proofErr w:type="gramEnd"/>
      <w:r w:rsidR="00017ED2">
        <w:rPr>
          <w:rFonts w:ascii="Garamond" w:hAnsi="Garamond"/>
          <w:sz w:val="24"/>
          <w:szCs w:val="24"/>
        </w:rPr>
        <w:t xml:space="preserve"> </w:t>
      </w:r>
      <w:r w:rsidR="007A5923">
        <w:rPr>
          <w:rFonts w:ascii="Garamond" w:hAnsi="Garamond"/>
          <w:sz w:val="24"/>
          <w:szCs w:val="24"/>
        </w:rPr>
        <w:t xml:space="preserve">estrema della persuasione </w:t>
      </w:r>
      <w:proofErr w:type="spellStart"/>
      <w:r w:rsidR="007A5923">
        <w:rPr>
          <w:rFonts w:ascii="Garamond" w:hAnsi="Garamond"/>
          <w:sz w:val="24"/>
          <w:szCs w:val="24"/>
        </w:rPr>
        <w:t>eteronomica</w:t>
      </w:r>
      <w:proofErr w:type="spellEnd"/>
      <w:r w:rsidR="003B529B">
        <w:rPr>
          <w:rFonts w:ascii="Garamond" w:hAnsi="Garamond"/>
          <w:sz w:val="24"/>
          <w:szCs w:val="24"/>
        </w:rPr>
        <w:t xml:space="preserve"> </w:t>
      </w:r>
      <w:r w:rsidR="00224C63">
        <w:rPr>
          <w:rFonts w:ascii="Garamond" w:hAnsi="Garamond"/>
          <w:sz w:val="24"/>
          <w:szCs w:val="24"/>
        </w:rPr>
        <w:t>con l’esito de</w:t>
      </w:r>
      <w:r w:rsidR="003B529B">
        <w:rPr>
          <w:rFonts w:ascii="Garamond" w:hAnsi="Garamond"/>
          <w:sz w:val="24"/>
          <w:szCs w:val="24"/>
        </w:rPr>
        <w:t>ll’autoinganno</w:t>
      </w:r>
      <w:r w:rsidR="008A7312">
        <w:rPr>
          <w:rFonts w:ascii="Garamond" w:hAnsi="Garamond"/>
          <w:sz w:val="24"/>
          <w:szCs w:val="24"/>
        </w:rPr>
        <w:t xml:space="preserve">, </w:t>
      </w:r>
      <w:r w:rsidR="003B529B">
        <w:rPr>
          <w:rFonts w:ascii="Garamond" w:hAnsi="Garamond"/>
          <w:sz w:val="24"/>
          <w:szCs w:val="24"/>
        </w:rPr>
        <w:t xml:space="preserve">che lo porta a </w:t>
      </w:r>
      <w:r w:rsidR="00A46A1F">
        <w:rPr>
          <w:rFonts w:ascii="Garamond" w:hAnsi="Garamond"/>
          <w:sz w:val="24"/>
          <w:szCs w:val="24"/>
        </w:rPr>
        <w:t>«</w:t>
      </w:r>
      <w:r w:rsidR="003B529B">
        <w:rPr>
          <w:rFonts w:ascii="Garamond" w:hAnsi="Garamond"/>
          <w:sz w:val="24"/>
          <w:szCs w:val="24"/>
        </w:rPr>
        <w:t xml:space="preserve">convincersi </w:t>
      </w:r>
      <w:r w:rsidR="008A7312">
        <w:rPr>
          <w:rFonts w:ascii="Garamond" w:hAnsi="Garamond"/>
          <w:sz w:val="24"/>
          <w:szCs w:val="24"/>
        </w:rPr>
        <w:t>della liceità del male</w:t>
      </w:r>
      <w:r w:rsidR="00A46A1F">
        <w:rPr>
          <w:rFonts w:ascii="Garamond" w:hAnsi="Garamond"/>
          <w:sz w:val="24"/>
          <w:szCs w:val="24"/>
        </w:rPr>
        <w:t>»</w:t>
      </w:r>
      <w:r w:rsidR="008A7312">
        <w:rPr>
          <w:rFonts w:ascii="Garamond" w:hAnsi="Garamond"/>
          <w:sz w:val="24"/>
          <w:szCs w:val="24"/>
        </w:rPr>
        <w:t xml:space="preserve">. </w:t>
      </w:r>
    </w:p>
    <w:p w:rsidR="00224C63" w:rsidRDefault="00224C63" w:rsidP="00670FD1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</w:p>
    <w:p w:rsidR="00224C63" w:rsidRPr="00224C63" w:rsidRDefault="00300BD5" w:rsidP="00224C6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Note finali</w:t>
      </w:r>
      <w:r w:rsidR="00224C63">
        <w:rPr>
          <w:rFonts w:ascii="Garamond" w:hAnsi="Garamond"/>
          <w:i/>
          <w:sz w:val="24"/>
          <w:szCs w:val="24"/>
        </w:rPr>
        <w:t xml:space="preserve">: indecisione, </w:t>
      </w:r>
      <w:proofErr w:type="spellStart"/>
      <w:r w:rsidR="00224C63">
        <w:rPr>
          <w:rFonts w:ascii="Garamond" w:hAnsi="Garamond"/>
          <w:i/>
          <w:sz w:val="24"/>
          <w:szCs w:val="24"/>
        </w:rPr>
        <w:t>performatività</w:t>
      </w:r>
      <w:proofErr w:type="spellEnd"/>
      <w:r w:rsidR="00224C63">
        <w:rPr>
          <w:rFonts w:ascii="Garamond" w:hAnsi="Garamond"/>
          <w:i/>
          <w:sz w:val="24"/>
          <w:szCs w:val="24"/>
        </w:rPr>
        <w:t>, potere</w:t>
      </w:r>
      <w:r>
        <w:rPr>
          <w:rFonts w:ascii="Garamond" w:hAnsi="Garamond"/>
          <w:i/>
          <w:sz w:val="24"/>
          <w:szCs w:val="24"/>
        </w:rPr>
        <w:t>, verità</w:t>
      </w:r>
    </w:p>
    <w:p w:rsidR="001067A0" w:rsidRDefault="00015BB3" w:rsidP="00670FD1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conclusione, vorrei </w:t>
      </w:r>
      <w:proofErr w:type="gramStart"/>
      <w:r>
        <w:rPr>
          <w:rFonts w:ascii="Garamond" w:hAnsi="Garamond"/>
          <w:sz w:val="24"/>
          <w:szCs w:val="24"/>
        </w:rPr>
        <w:t>mettere in evidenza</w:t>
      </w:r>
      <w:proofErr w:type="gramEnd"/>
      <w:r>
        <w:rPr>
          <w:rFonts w:ascii="Garamond" w:hAnsi="Garamond"/>
          <w:sz w:val="24"/>
          <w:szCs w:val="24"/>
        </w:rPr>
        <w:t xml:space="preserve"> alcuni elementi</w:t>
      </w:r>
      <w:r w:rsidR="00017ED2">
        <w:rPr>
          <w:rFonts w:ascii="Garamond" w:hAnsi="Garamond"/>
          <w:sz w:val="24"/>
          <w:szCs w:val="24"/>
        </w:rPr>
        <w:t xml:space="preserve"> che ho trovato</w:t>
      </w:r>
      <w:r>
        <w:rPr>
          <w:rFonts w:ascii="Garamond" w:hAnsi="Garamond"/>
          <w:sz w:val="24"/>
          <w:szCs w:val="24"/>
        </w:rPr>
        <w:t xml:space="preserve"> </w:t>
      </w:r>
      <w:r w:rsidR="00C80B2B">
        <w:rPr>
          <w:rFonts w:ascii="Garamond" w:hAnsi="Garamond"/>
          <w:sz w:val="24"/>
          <w:szCs w:val="24"/>
        </w:rPr>
        <w:t xml:space="preserve">di particolare interesse </w:t>
      </w:r>
      <w:r w:rsidR="00017ED2">
        <w:rPr>
          <w:rFonts w:ascii="Garamond" w:hAnsi="Garamond"/>
          <w:sz w:val="24"/>
          <w:szCs w:val="24"/>
        </w:rPr>
        <w:t>nella</w:t>
      </w:r>
      <w:r>
        <w:rPr>
          <w:rFonts w:ascii="Garamond" w:hAnsi="Garamond"/>
          <w:sz w:val="24"/>
          <w:szCs w:val="24"/>
        </w:rPr>
        <w:t xml:space="preserve"> relazione della prof.ssa Li Vigni. </w:t>
      </w:r>
    </w:p>
    <w:p w:rsidR="00224C63" w:rsidRDefault="00015BB3" w:rsidP="001067A0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primo luogo, trovo interessante che la persuasione costituisca la forma discorsiva </w:t>
      </w:r>
      <w:r w:rsidR="00224C63">
        <w:rPr>
          <w:rFonts w:ascii="Garamond" w:hAnsi="Garamond"/>
          <w:sz w:val="24"/>
          <w:szCs w:val="24"/>
        </w:rPr>
        <w:t xml:space="preserve">tipica </w:t>
      </w:r>
      <w:r>
        <w:rPr>
          <w:rFonts w:ascii="Garamond" w:hAnsi="Garamond"/>
          <w:sz w:val="24"/>
          <w:szCs w:val="24"/>
        </w:rPr>
        <w:t xml:space="preserve">dell’indecisione. </w:t>
      </w:r>
      <w:r w:rsidR="00224C63">
        <w:rPr>
          <w:rFonts w:ascii="Garamond" w:hAnsi="Garamond"/>
          <w:sz w:val="24"/>
          <w:szCs w:val="24"/>
        </w:rPr>
        <w:t xml:space="preserve">Quando vi è un’incertezza sul da farsi o su un’opinione (nel caso omerico l’incertezza </w:t>
      </w:r>
      <w:r w:rsidR="004A194A">
        <w:rPr>
          <w:rFonts w:ascii="Garamond" w:hAnsi="Garamond"/>
          <w:sz w:val="24"/>
          <w:szCs w:val="24"/>
        </w:rPr>
        <w:t>sembra</w:t>
      </w:r>
      <w:r w:rsidR="00224C63">
        <w:rPr>
          <w:rFonts w:ascii="Garamond" w:hAnsi="Garamond"/>
          <w:sz w:val="24"/>
          <w:szCs w:val="24"/>
        </w:rPr>
        <w:t xml:space="preserve"> sempre relativa </w:t>
      </w:r>
      <w:proofErr w:type="gramStart"/>
      <w:r w:rsidR="00224C63">
        <w:rPr>
          <w:rFonts w:ascii="Garamond" w:hAnsi="Garamond"/>
          <w:sz w:val="24"/>
          <w:szCs w:val="24"/>
        </w:rPr>
        <w:t>al da</w:t>
      </w:r>
      <w:proofErr w:type="gramEnd"/>
      <w:r w:rsidR="00224C63">
        <w:rPr>
          <w:rFonts w:ascii="Garamond" w:hAnsi="Garamond"/>
          <w:sz w:val="24"/>
          <w:szCs w:val="24"/>
        </w:rPr>
        <w:t xml:space="preserve"> farsi, cioè alla sfera dell’azione), si ricorre alla persuasione, descrivibile come il percorso più o meno obbligato che presiede a ogni decisione. </w:t>
      </w:r>
      <w:proofErr w:type="gramStart"/>
      <w:r w:rsidR="00355860">
        <w:rPr>
          <w:rFonts w:ascii="Garamond" w:hAnsi="Garamond"/>
          <w:sz w:val="24"/>
          <w:szCs w:val="24"/>
        </w:rPr>
        <w:t xml:space="preserve">Come </w:t>
      </w:r>
      <w:proofErr w:type="gramEnd"/>
      <w:r w:rsidR="00355860">
        <w:rPr>
          <w:rFonts w:ascii="Garamond" w:hAnsi="Garamond"/>
          <w:sz w:val="24"/>
          <w:szCs w:val="24"/>
        </w:rPr>
        <w:t>è stato detto in sede di teoria dell’argomentazione,</w:t>
      </w:r>
      <w:r w:rsidR="003C7B95">
        <w:rPr>
          <w:rFonts w:ascii="Garamond" w:hAnsi="Garamond"/>
          <w:sz w:val="24"/>
          <w:szCs w:val="24"/>
        </w:rPr>
        <w:t xml:space="preserve"> anche</w:t>
      </w:r>
      <w:r w:rsidR="00355860">
        <w:rPr>
          <w:rFonts w:ascii="Garamond" w:hAnsi="Garamond"/>
          <w:sz w:val="24"/>
          <w:szCs w:val="24"/>
        </w:rPr>
        <w:t xml:space="preserve"> </w:t>
      </w:r>
      <w:r w:rsidR="00C80B2B">
        <w:rPr>
          <w:rFonts w:ascii="Garamond" w:hAnsi="Garamond"/>
          <w:sz w:val="24"/>
          <w:szCs w:val="24"/>
        </w:rPr>
        <w:t>l’argomentazione entra in gioco in presen</w:t>
      </w:r>
      <w:r w:rsidR="00355860">
        <w:rPr>
          <w:rFonts w:ascii="Garamond" w:hAnsi="Garamond"/>
          <w:sz w:val="24"/>
          <w:szCs w:val="24"/>
        </w:rPr>
        <w:t>za di una questione controversa</w:t>
      </w:r>
      <w:r w:rsidR="004A194A">
        <w:rPr>
          <w:rFonts w:ascii="Garamond" w:hAnsi="Garamond"/>
          <w:sz w:val="24"/>
          <w:szCs w:val="24"/>
        </w:rPr>
        <w:t>,</w:t>
      </w:r>
      <w:r w:rsidR="00C80B2B">
        <w:rPr>
          <w:rFonts w:ascii="Garamond" w:hAnsi="Garamond"/>
          <w:sz w:val="24"/>
          <w:szCs w:val="24"/>
        </w:rPr>
        <w:t xml:space="preserve"> di fronte alla quale si avverte il bisogno di portare argomenti in favore o contro</w:t>
      </w:r>
      <w:r w:rsidR="003C7B95">
        <w:rPr>
          <w:rFonts w:ascii="Garamond" w:hAnsi="Garamond"/>
          <w:sz w:val="24"/>
          <w:szCs w:val="24"/>
        </w:rPr>
        <w:t>:</w:t>
      </w:r>
      <w:r w:rsidR="0074424A">
        <w:rPr>
          <w:rFonts w:ascii="Garamond" w:hAnsi="Garamond"/>
          <w:sz w:val="24"/>
          <w:szCs w:val="24"/>
        </w:rPr>
        <w:t xml:space="preserve"> altrimenti non avrebbe ragione di esistere</w:t>
      </w:r>
      <w:r w:rsidR="00C80B2B">
        <w:rPr>
          <w:rStyle w:val="FootnoteReference"/>
          <w:rFonts w:ascii="Garamond" w:hAnsi="Garamond"/>
          <w:sz w:val="24"/>
          <w:szCs w:val="24"/>
        </w:rPr>
        <w:footnoteReference w:id="4"/>
      </w:r>
      <w:r w:rsidR="00C80B2B">
        <w:rPr>
          <w:rFonts w:ascii="Garamond" w:hAnsi="Garamond"/>
          <w:sz w:val="24"/>
          <w:szCs w:val="24"/>
        </w:rPr>
        <w:t>.</w:t>
      </w:r>
      <w:r w:rsidR="00017ED2">
        <w:rPr>
          <w:rFonts w:ascii="Garamond" w:hAnsi="Garamond"/>
          <w:sz w:val="24"/>
          <w:szCs w:val="24"/>
        </w:rPr>
        <w:t xml:space="preserve"> Si è </w:t>
      </w:r>
      <w:proofErr w:type="gramStart"/>
      <w:r w:rsidR="00017ED2">
        <w:rPr>
          <w:rFonts w:ascii="Garamond" w:hAnsi="Garamond"/>
          <w:sz w:val="24"/>
          <w:szCs w:val="24"/>
        </w:rPr>
        <w:t>intravisto</w:t>
      </w:r>
      <w:proofErr w:type="gramEnd"/>
      <w:r w:rsidR="00017ED2">
        <w:rPr>
          <w:rFonts w:ascii="Garamond" w:hAnsi="Garamond"/>
          <w:sz w:val="24"/>
          <w:szCs w:val="24"/>
        </w:rPr>
        <w:t xml:space="preserve"> come tale caratteristica abbia </w:t>
      </w:r>
      <w:r w:rsidR="001067A0">
        <w:rPr>
          <w:rFonts w:ascii="Garamond" w:hAnsi="Garamond"/>
          <w:sz w:val="24"/>
          <w:szCs w:val="24"/>
        </w:rPr>
        <w:t>intrinsecamente</w:t>
      </w:r>
      <w:r w:rsidR="00017ED2">
        <w:rPr>
          <w:rFonts w:ascii="Garamond" w:hAnsi="Garamond"/>
          <w:sz w:val="24"/>
          <w:szCs w:val="24"/>
        </w:rPr>
        <w:t xml:space="preserve"> a che fare con la democrazia. È solo in un regime democratico, cioè caratterizzato da una pluralità </w:t>
      </w:r>
      <w:proofErr w:type="gramStart"/>
      <w:r w:rsidR="00017ED2">
        <w:rPr>
          <w:rFonts w:ascii="Garamond" w:hAnsi="Garamond"/>
          <w:sz w:val="24"/>
          <w:szCs w:val="24"/>
        </w:rPr>
        <w:t xml:space="preserve">di </w:t>
      </w:r>
      <w:proofErr w:type="gramEnd"/>
      <w:r w:rsidR="00017ED2">
        <w:rPr>
          <w:rFonts w:ascii="Garamond" w:hAnsi="Garamond"/>
          <w:sz w:val="24"/>
          <w:szCs w:val="24"/>
        </w:rPr>
        <w:t>interessi e visioni del mondo</w:t>
      </w:r>
      <w:r w:rsidR="001067A0">
        <w:rPr>
          <w:rFonts w:ascii="Garamond" w:hAnsi="Garamond"/>
          <w:sz w:val="24"/>
          <w:szCs w:val="24"/>
        </w:rPr>
        <w:t xml:space="preserve">, tutti </w:t>
      </w:r>
      <w:r w:rsidR="003C7B95">
        <w:rPr>
          <w:rFonts w:ascii="Garamond" w:hAnsi="Garamond"/>
          <w:sz w:val="24"/>
          <w:szCs w:val="24"/>
        </w:rPr>
        <w:t>dotati di</w:t>
      </w:r>
      <w:r w:rsidR="001067A0">
        <w:rPr>
          <w:rFonts w:ascii="Garamond" w:hAnsi="Garamond"/>
          <w:sz w:val="24"/>
          <w:szCs w:val="24"/>
        </w:rPr>
        <w:t xml:space="preserve"> pari</w:t>
      </w:r>
      <w:r w:rsidR="003C7B95">
        <w:rPr>
          <w:rFonts w:ascii="Garamond" w:hAnsi="Garamond"/>
          <w:sz w:val="24"/>
          <w:szCs w:val="24"/>
        </w:rPr>
        <w:t xml:space="preserve"> diritto </w:t>
      </w:r>
      <w:r w:rsidR="001067A0">
        <w:rPr>
          <w:rFonts w:ascii="Garamond" w:hAnsi="Garamond"/>
          <w:sz w:val="24"/>
          <w:szCs w:val="24"/>
        </w:rPr>
        <w:t>di parola</w:t>
      </w:r>
      <w:r w:rsidR="00017ED2">
        <w:rPr>
          <w:rFonts w:ascii="Garamond" w:hAnsi="Garamond"/>
          <w:sz w:val="24"/>
          <w:szCs w:val="24"/>
        </w:rPr>
        <w:t xml:space="preserve">, che </w:t>
      </w:r>
      <w:r w:rsidR="001067A0">
        <w:rPr>
          <w:rFonts w:ascii="Garamond" w:hAnsi="Garamond"/>
          <w:sz w:val="24"/>
          <w:szCs w:val="24"/>
        </w:rPr>
        <w:t>la persuasione può trovare casa. Di contro,</w:t>
      </w:r>
      <w:r w:rsidR="00017ED2">
        <w:rPr>
          <w:rFonts w:ascii="Garamond" w:hAnsi="Garamond"/>
          <w:sz w:val="24"/>
          <w:szCs w:val="24"/>
        </w:rPr>
        <w:t xml:space="preserve"> </w:t>
      </w:r>
      <w:proofErr w:type="gramStart"/>
      <w:r w:rsidR="004A194A">
        <w:rPr>
          <w:rFonts w:ascii="Garamond" w:hAnsi="Garamond"/>
          <w:sz w:val="24"/>
          <w:szCs w:val="24"/>
        </w:rPr>
        <w:t>nel contesto di</w:t>
      </w:r>
      <w:proofErr w:type="gramEnd"/>
      <w:r w:rsidR="004A194A">
        <w:rPr>
          <w:rFonts w:ascii="Garamond" w:hAnsi="Garamond"/>
          <w:sz w:val="24"/>
          <w:szCs w:val="24"/>
        </w:rPr>
        <w:t xml:space="preserve"> un</w:t>
      </w:r>
      <w:r w:rsidR="00017ED2">
        <w:rPr>
          <w:rFonts w:ascii="Garamond" w:hAnsi="Garamond"/>
          <w:sz w:val="24"/>
          <w:szCs w:val="24"/>
        </w:rPr>
        <w:t xml:space="preserve"> reg</w:t>
      </w:r>
      <w:r w:rsidR="007A5923">
        <w:rPr>
          <w:rFonts w:ascii="Garamond" w:hAnsi="Garamond"/>
          <w:sz w:val="24"/>
          <w:szCs w:val="24"/>
        </w:rPr>
        <w:t>ime per definizione non plurale</w:t>
      </w:r>
      <w:r w:rsidR="00017ED2">
        <w:rPr>
          <w:rFonts w:ascii="Garamond" w:hAnsi="Garamond"/>
          <w:sz w:val="24"/>
          <w:szCs w:val="24"/>
        </w:rPr>
        <w:t xml:space="preserve"> quale quello tirannico, le visioni del mondo </w:t>
      </w:r>
      <w:r w:rsidR="003C7B95">
        <w:rPr>
          <w:rFonts w:ascii="Garamond" w:hAnsi="Garamond"/>
          <w:sz w:val="24"/>
          <w:szCs w:val="24"/>
        </w:rPr>
        <w:t xml:space="preserve">e quindi lo spazio del discorso </w:t>
      </w:r>
      <w:r w:rsidR="00017ED2">
        <w:rPr>
          <w:rFonts w:ascii="Garamond" w:hAnsi="Garamond"/>
          <w:sz w:val="24"/>
          <w:szCs w:val="24"/>
        </w:rPr>
        <w:t xml:space="preserve">sono monopolizzate dalla figura del </w:t>
      </w:r>
      <w:r w:rsidR="003C7B95">
        <w:rPr>
          <w:rFonts w:ascii="Garamond" w:hAnsi="Garamond"/>
          <w:sz w:val="24"/>
          <w:szCs w:val="24"/>
        </w:rPr>
        <w:t>sovrano</w:t>
      </w:r>
      <w:r w:rsidR="00017ED2">
        <w:rPr>
          <w:rFonts w:ascii="Garamond" w:hAnsi="Garamond"/>
          <w:sz w:val="24"/>
          <w:szCs w:val="24"/>
        </w:rPr>
        <w:t xml:space="preserve">, pertanto non vi è nulla da discutere, </w:t>
      </w:r>
      <w:r w:rsidR="003C7B95">
        <w:rPr>
          <w:rFonts w:ascii="Garamond" w:hAnsi="Garamond"/>
          <w:sz w:val="24"/>
          <w:szCs w:val="24"/>
        </w:rPr>
        <w:t>alcun terreno che renda la persuasione possibile o necessaria.</w:t>
      </w:r>
      <w:r w:rsidR="001067A0">
        <w:rPr>
          <w:rFonts w:ascii="Garamond" w:hAnsi="Garamond"/>
          <w:sz w:val="24"/>
          <w:szCs w:val="24"/>
        </w:rPr>
        <w:t xml:space="preserve"> </w:t>
      </w:r>
    </w:p>
    <w:p w:rsidR="00064998" w:rsidRDefault="00EB2F29" w:rsidP="00224C63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secondo luogo, configurandosi come forma di azione, </w:t>
      </w:r>
      <w:proofErr w:type="gramStart"/>
      <w:r w:rsidR="00017ED2">
        <w:rPr>
          <w:rFonts w:ascii="Garamond" w:hAnsi="Garamond"/>
          <w:sz w:val="24"/>
          <w:szCs w:val="24"/>
        </w:rPr>
        <w:t>trovo</w:t>
      </w:r>
      <w:proofErr w:type="gramEnd"/>
      <w:r w:rsidR="00017ED2">
        <w:rPr>
          <w:rFonts w:ascii="Garamond" w:hAnsi="Garamond"/>
          <w:sz w:val="24"/>
          <w:szCs w:val="24"/>
        </w:rPr>
        <w:t xml:space="preserve"> che </w:t>
      </w:r>
      <w:r w:rsidR="00224C63">
        <w:rPr>
          <w:rFonts w:ascii="Garamond" w:hAnsi="Garamond"/>
          <w:sz w:val="24"/>
          <w:szCs w:val="24"/>
        </w:rPr>
        <w:t xml:space="preserve">potrebbe essere interessante </w:t>
      </w:r>
      <w:r w:rsidR="00017ED2">
        <w:rPr>
          <w:rFonts w:ascii="Garamond" w:hAnsi="Garamond"/>
          <w:sz w:val="24"/>
          <w:szCs w:val="24"/>
        </w:rPr>
        <w:t>un percorso di lettura del</w:t>
      </w:r>
      <w:r w:rsidR="00224C63">
        <w:rPr>
          <w:rFonts w:ascii="Garamond" w:hAnsi="Garamond"/>
          <w:sz w:val="24"/>
          <w:szCs w:val="24"/>
        </w:rPr>
        <w:t xml:space="preserve">la persuasione </w:t>
      </w:r>
      <w:r w:rsidR="001067A0">
        <w:rPr>
          <w:rFonts w:ascii="Garamond" w:hAnsi="Garamond"/>
          <w:sz w:val="24"/>
          <w:szCs w:val="24"/>
        </w:rPr>
        <w:t xml:space="preserve">che si avvalga </w:t>
      </w:r>
      <w:r>
        <w:rPr>
          <w:rFonts w:ascii="Garamond" w:hAnsi="Garamond"/>
          <w:sz w:val="24"/>
          <w:szCs w:val="24"/>
        </w:rPr>
        <w:t>delle categorie</w:t>
      </w:r>
      <w:r w:rsidR="007A5923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austiniane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r w:rsidR="00C76AD2">
        <w:rPr>
          <w:rFonts w:ascii="Garamond" w:hAnsi="Garamond"/>
          <w:sz w:val="24"/>
          <w:szCs w:val="24"/>
        </w:rPr>
        <w:t xml:space="preserve">Se la persuasione è una forma di azione, non sarebbe inopportuno riconoscerne la natura performativa. </w:t>
      </w:r>
      <w:proofErr w:type="gramStart"/>
      <w:r w:rsidR="00224C63">
        <w:rPr>
          <w:rFonts w:ascii="Garamond" w:hAnsi="Garamond"/>
          <w:sz w:val="24"/>
          <w:szCs w:val="24"/>
        </w:rPr>
        <w:t>J.</w:t>
      </w:r>
      <w:proofErr w:type="gramEnd"/>
      <w:r w:rsidR="00224C63">
        <w:rPr>
          <w:rFonts w:ascii="Garamond" w:hAnsi="Garamond"/>
          <w:sz w:val="24"/>
          <w:szCs w:val="24"/>
        </w:rPr>
        <w:t xml:space="preserve"> L. </w:t>
      </w:r>
      <w:r>
        <w:rPr>
          <w:rFonts w:ascii="Garamond" w:hAnsi="Garamond"/>
          <w:sz w:val="24"/>
          <w:szCs w:val="24"/>
        </w:rPr>
        <w:t xml:space="preserve">Austin è noto per aver scoperto che la logica non aveva </w:t>
      </w:r>
      <w:r w:rsidR="00224C63">
        <w:rPr>
          <w:rFonts w:ascii="Garamond" w:hAnsi="Garamond"/>
          <w:sz w:val="24"/>
          <w:szCs w:val="24"/>
        </w:rPr>
        <w:t>detto</w:t>
      </w:r>
      <w:r>
        <w:rPr>
          <w:rFonts w:ascii="Garamond" w:hAnsi="Garamond"/>
          <w:sz w:val="24"/>
          <w:szCs w:val="24"/>
        </w:rPr>
        <w:t xml:space="preserve"> tutto quel che c</w:t>
      </w:r>
      <w:r w:rsidR="00224C63">
        <w:rPr>
          <w:rFonts w:ascii="Garamond" w:hAnsi="Garamond"/>
          <w:sz w:val="24"/>
          <w:szCs w:val="24"/>
        </w:rPr>
        <w:t>’era da dire sugli enunciati, in quanto e</w:t>
      </w:r>
      <w:r>
        <w:rPr>
          <w:rFonts w:ascii="Garamond" w:hAnsi="Garamond"/>
          <w:sz w:val="24"/>
          <w:szCs w:val="24"/>
        </w:rPr>
        <w:t xml:space="preserve">ssi non si esauriscono nella </w:t>
      </w:r>
      <w:r w:rsidR="000D24B4">
        <w:rPr>
          <w:rFonts w:ascii="Garamond" w:hAnsi="Garamond"/>
          <w:sz w:val="24"/>
          <w:szCs w:val="24"/>
        </w:rPr>
        <w:t xml:space="preserve">sola </w:t>
      </w:r>
      <w:r>
        <w:rPr>
          <w:rFonts w:ascii="Garamond" w:hAnsi="Garamond"/>
          <w:sz w:val="24"/>
          <w:szCs w:val="24"/>
        </w:rPr>
        <w:t>proprietà di ess</w:t>
      </w:r>
      <w:r w:rsidR="000D24B4">
        <w:rPr>
          <w:rFonts w:ascii="Garamond" w:hAnsi="Garamond"/>
          <w:sz w:val="24"/>
          <w:szCs w:val="24"/>
        </w:rPr>
        <w:t>ere veri o falsi</w:t>
      </w:r>
      <w:r w:rsidR="001067A0">
        <w:rPr>
          <w:rFonts w:ascii="Garamond" w:hAnsi="Garamond"/>
          <w:sz w:val="24"/>
          <w:szCs w:val="24"/>
        </w:rPr>
        <w:t xml:space="preserve">: egli </w:t>
      </w:r>
      <w:r w:rsidR="00017ED2">
        <w:rPr>
          <w:rFonts w:ascii="Garamond" w:hAnsi="Garamond"/>
          <w:sz w:val="24"/>
          <w:szCs w:val="24"/>
        </w:rPr>
        <w:t xml:space="preserve">ha scoperto che </w:t>
      </w:r>
      <w:r>
        <w:rPr>
          <w:rFonts w:ascii="Garamond" w:hAnsi="Garamond"/>
          <w:sz w:val="24"/>
          <w:szCs w:val="24"/>
        </w:rPr>
        <w:t>vi sono enunciati irriducibili a tale dicotomia, la cui prop</w:t>
      </w:r>
      <w:r w:rsidR="001067A0">
        <w:rPr>
          <w:rFonts w:ascii="Garamond" w:hAnsi="Garamond"/>
          <w:sz w:val="24"/>
          <w:szCs w:val="24"/>
        </w:rPr>
        <w:t>rietà è appunto quella di agire.</w:t>
      </w:r>
      <w:r w:rsidR="00017ED2">
        <w:rPr>
          <w:rFonts w:ascii="Garamond" w:hAnsi="Garamond"/>
          <w:sz w:val="24"/>
          <w:szCs w:val="24"/>
        </w:rPr>
        <w:t xml:space="preserve"> </w:t>
      </w:r>
      <w:r w:rsidR="001067A0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i tratta degli enunciati </w:t>
      </w:r>
      <w:r w:rsidRPr="00A724DA">
        <w:rPr>
          <w:rFonts w:ascii="Garamond" w:hAnsi="Garamond"/>
          <w:i/>
          <w:sz w:val="24"/>
          <w:szCs w:val="24"/>
        </w:rPr>
        <w:t>performativi</w:t>
      </w:r>
      <w:r>
        <w:rPr>
          <w:rFonts w:ascii="Garamond" w:hAnsi="Garamond"/>
          <w:sz w:val="24"/>
          <w:szCs w:val="24"/>
        </w:rPr>
        <w:t xml:space="preserve">, i quali, </w:t>
      </w:r>
      <w:proofErr w:type="gramStart"/>
      <w:r>
        <w:rPr>
          <w:rFonts w:ascii="Garamond" w:hAnsi="Garamond"/>
          <w:sz w:val="24"/>
          <w:szCs w:val="24"/>
        </w:rPr>
        <w:t>in presenza</w:t>
      </w:r>
      <w:proofErr w:type="gramEnd"/>
      <w:r>
        <w:rPr>
          <w:rFonts w:ascii="Garamond" w:hAnsi="Garamond"/>
          <w:sz w:val="24"/>
          <w:szCs w:val="24"/>
        </w:rPr>
        <w:t xml:space="preserve"> di determinate condizioni (</w:t>
      </w:r>
      <w:proofErr w:type="spellStart"/>
      <w:r w:rsidR="000D24B4">
        <w:rPr>
          <w:rFonts w:ascii="Garamond" w:hAnsi="Garamond"/>
          <w:i/>
          <w:sz w:val="24"/>
          <w:szCs w:val="24"/>
        </w:rPr>
        <w:t>conditions</w:t>
      </w:r>
      <w:proofErr w:type="spellEnd"/>
      <w:r w:rsidR="000D24B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0D24B4">
        <w:rPr>
          <w:rFonts w:ascii="Garamond" w:hAnsi="Garamond"/>
          <w:i/>
          <w:sz w:val="24"/>
          <w:szCs w:val="24"/>
        </w:rPr>
        <w:t>of</w:t>
      </w:r>
      <w:proofErr w:type="spellEnd"/>
      <w:r w:rsidR="000D24B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EB2F29">
        <w:rPr>
          <w:rFonts w:ascii="Garamond" w:hAnsi="Garamond"/>
          <w:i/>
          <w:sz w:val="24"/>
          <w:szCs w:val="24"/>
        </w:rPr>
        <w:t>felicity</w:t>
      </w:r>
      <w:proofErr w:type="spellEnd"/>
      <w:r>
        <w:rPr>
          <w:rFonts w:ascii="Garamond" w:hAnsi="Garamond"/>
          <w:sz w:val="24"/>
          <w:szCs w:val="24"/>
        </w:rPr>
        <w:t>), hanno la proprietà</w:t>
      </w:r>
      <w:r w:rsidR="00355860">
        <w:rPr>
          <w:rFonts w:ascii="Garamond" w:hAnsi="Garamond"/>
          <w:sz w:val="24"/>
          <w:szCs w:val="24"/>
        </w:rPr>
        <w:t xml:space="preserve"> di</w:t>
      </w:r>
      <w:r w:rsidR="000D24B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produrre degli effetti. Questi ultimi possono coincidere con l’atto del proferimento – come </w:t>
      </w:r>
      <w:r w:rsidR="00CA1E73">
        <w:rPr>
          <w:rFonts w:ascii="Garamond" w:hAnsi="Garamond"/>
          <w:sz w:val="24"/>
          <w:szCs w:val="24"/>
        </w:rPr>
        <w:t>l’enunciato “lo voglio</w:t>
      </w:r>
      <w:r>
        <w:rPr>
          <w:rFonts w:ascii="Garamond" w:hAnsi="Garamond"/>
          <w:sz w:val="24"/>
          <w:szCs w:val="24"/>
        </w:rPr>
        <w:t xml:space="preserve">” del matrimonio, che </w:t>
      </w:r>
      <w:r w:rsidR="001067A0">
        <w:rPr>
          <w:rFonts w:ascii="Garamond" w:hAnsi="Garamond"/>
          <w:sz w:val="24"/>
          <w:szCs w:val="24"/>
        </w:rPr>
        <w:t>equivale al</w:t>
      </w:r>
      <w:r w:rsidR="000D24B4">
        <w:rPr>
          <w:rFonts w:ascii="Garamond" w:hAnsi="Garamond"/>
          <w:sz w:val="24"/>
          <w:szCs w:val="24"/>
        </w:rPr>
        <w:t>la celebrazione</w:t>
      </w:r>
      <w:r>
        <w:rPr>
          <w:rFonts w:ascii="Garamond" w:hAnsi="Garamond"/>
          <w:sz w:val="24"/>
          <w:szCs w:val="24"/>
        </w:rPr>
        <w:t xml:space="preserve"> dell’unione – e in quel caso si parlerà di atto performativo il</w:t>
      </w:r>
      <w:r w:rsidR="00017ED2">
        <w:rPr>
          <w:rFonts w:ascii="Garamond" w:hAnsi="Garamond"/>
          <w:sz w:val="24"/>
          <w:szCs w:val="24"/>
        </w:rPr>
        <w:t>locutorio; n</w:t>
      </w:r>
      <w:r w:rsidR="00DB4EB4">
        <w:rPr>
          <w:rFonts w:ascii="Garamond" w:hAnsi="Garamond"/>
          <w:sz w:val="24"/>
          <w:szCs w:val="24"/>
        </w:rPr>
        <w:t xml:space="preserve">el caso di uno </w:t>
      </w:r>
      <w:r>
        <w:rPr>
          <w:rFonts w:ascii="Garamond" w:hAnsi="Garamond"/>
          <w:sz w:val="24"/>
          <w:szCs w:val="24"/>
        </w:rPr>
        <w:t xml:space="preserve">scarto temporale fra il proferimento e i suoi effetti, </w:t>
      </w:r>
      <w:r w:rsidR="00DB4EB4">
        <w:rPr>
          <w:rFonts w:ascii="Garamond" w:hAnsi="Garamond"/>
          <w:sz w:val="24"/>
          <w:szCs w:val="24"/>
        </w:rPr>
        <w:t>si parlerà</w:t>
      </w:r>
      <w:r w:rsidR="0074424A">
        <w:rPr>
          <w:rFonts w:ascii="Garamond" w:hAnsi="Garamond"/>
          <w:sz w:val="24"/>
          <w:szCs w:val="24"/>
        </w:rPr>
        <w:t xml:space="preserve"> invece</w:t>
      </w:r>
      <w:r>
        <w:rPr>
          <w:rFonts w:ascii="Garamond" w:hAnsi="Garamond"/>
          <w:sz w:val="24"/>
          <w:szCs w:val="24"/>
        </w:rPr>
        <w:t xml:space="preserve"> di atto performativo perlocutorio</w:t>
      </w:r>
      <w:proofErr w:type="gramStart"/>
      <w:r>
        <w:rPr>
          <w:rStyle w:val="FootnoteReference"/>
          <w:rFonts w:ascii="Garamond" w:hAnsi="Garamond"/>
          <w:sz w:val="24"/>
          <w:szCs w:val="24"/>
        </w:rPr>
        <w:footnoteReference w:id="5"/>
      </w:r>
      <w:r>
        <w:rPr>
          <w:rFonts w:ascii="Garamond" w:hAnsi="Garamond"/>
          <w:sz w:val="24"/>
          <w:szCs w:val="24"/>
        </w:rPr>
        <w:t>.</w:t>
      </w:r>
      <w:proofErr w:type="gramEnd"/>
      <w:r w:rsidR="00D21CCD">
        <w:rPr>
          <w:rFonts w:ascii="Garamond" w:hAnsi="Garamond"/>
          <w:sz w:val="24"/>
          <w:szCs w:val="24"/>
        </w:rPr>
        <w:t xml:space="preserve"> In mancanza delle circostanze appropriate, non si parlerà allora di falsità dell’enunciato, ma </w:t>
      </w:r>
      <w:proofErr w:type="gramStart"/>
      <w:r w:rsidR="00D21CCD">
        <w:rPr>
          <w:rFonts w:ascii="Garamond" w:hAnsi="Garamond"/>
          <w:sz w:val="24"/>
          <w:szCs w:val="24"/>
        </w:rPr>
        <w:t xml:space="preserve">di </w:t>
      </w:r>
      <w:proofErr w:type="gramEnd"/>
      <w:r w:rsidR="00D21CCD">
        <w:rPr>
          <w:rFonts w:ascii="Garamond" w:hAnsi="Garamond"/>
          <w:sz w:val="24"/>
          <w:szCs w:val="24"/>
        </w:rPr>
        <w:t>infelicità (</w:t>
      </w:r>
      <w:proofErr w:type="spellStart"/>
      <w:r w:rsidR="00D21CCD" w:rsidRPr="00D21CCD">
        <w:rPr>
          <w:rFonts w:ascii="Garamond" w:hAnsi="Garamond"/>
          <w:i/>
          <w:sz w:val="24"/>
          <w:szCs w:val="24"/>
        </w:rPr>
        <w:t>infelicit</w:t>
      </w:r>
      <w:r w:rsidR="00D21CCD">
        <w:rPr>
          <w:rFonts w:ascii="Garamond" w:hAnsi="Garamond"/>
          <w:i/>
          <w:sz w:val="24"/>
          <w:szCs w:val="24"/>
        </w:rPr>
        <w:t>y</w:t>
      </w:r>
      <w:proofErr w:type="spellEnd"/>
      <w:r w:rsidR="00D21CCD">
        <w:rPr>
          <w:rFonts w:ascii="Garamond" w:hAnsi="Garamond"/>
          <w:sz w:val="24"/>
          <w:szCs w:val="24"/>
        </w:rPr>
        <w:t>) dello stesso.</w:t>
      </w:r>
      <w:r w:rsidR="005E04B9">
        <w:rPr>
          <w:rFonts w:ascii="Garamond" w:hAnsi="Garamond"/>
          <w:sz w:val="24"/>
          <w:szCs w:val="24"/>
        </w:rPr>
        <w:t xml:space="preserve"> Ebbene, </w:t>
      </w:r>
      <w:r w:rsidR="000D24B4">
        <w:rPr>
          <w:rFonts w:ascii="Garamond" w:hAnsi="Garamond"/>
          <w:sz w:val="24"/>
          <w:szCs w:val="24"/>
        </w:rPr>
        <w:t xml:space="preserve">a un primo sguardo </w:t>
      </w:r>
      <w:r w:rsidR="008061FA">
        <w:rPr>
          <w:rFonts w:ascii="Garamond" w:hAnsi="Garamond"/>
          <w:sz w:val="24"/>
          <w:szCs w:val="24"/>
        </w:rPr>
        <w:t xml:space="preserve">– posto che ciò andrebbe attentamente valutato in sede analitica – </w:t>
      </w:r>
      <w:r w:rsidR="000D24B4">
        <w:rPr>
          <w:rFonts w:ascii="Garamond" w:hAnsi="Garamond"/>
          <w:sz w:val="24"/>
          <w:szCs w:val="24"/>
        </w:rPr>
        <w:t xml:space="preserve">sembrerebbe possibile ricondurre i casi presi in considerazione dalla prof.ssa </w:t>
      </w:r>
      <w:proofErr w:type="gramStart"/>
      <w:r w:rsidR="000D24B4">
        <w:rPr>
          <w:rFonts w:ascii="Garamond" w:hAnsi="Garamond"/>
          <w:sz w:val="24"/>
          <w:szCs w:val="24"/>
        </w:rPr>
        <w:t>Li</w:t>
      </w:r>
      <w:proofErr w:type="gramEnd"/>
      <w:r w:rsidR="000D24B4">
        <w:rPr>
          <w:rFonts w:ascii="Garamond" w:hAnsi="Garamond"/>
          <w:sz w:val="24"/>
          <w:szCs w:val="24"/>
        </w:rPr>
        <w:t xml:space="preserve"> Vigni a quest’ultima categoria.</w:t>
      </w:r>
      <w:r w:rsidR="00017ED2">
        <w:rPr>
          <w:rFonts w:ascii="Garamond" w:hAnsi="Garamond"/>
          <w:sz w:val="24"/>
          <w:szCs w:val="24"/>
        </w:rPr>
        <w:t xml:space="preserve"> I tentativi di Atena di persuadere Achille, la persuasione divina interiorizzata da Agamennone, il discorso affettato di </w:t>
      </w:r>
      <w:proofErr w:type="spellStart"/>
      <w:r w:rsidR="00017ED2">
        <w:rPr>
          <w:rFonts w:ascii="Garamond" w:hAnsi="Garamond"/>
          <w:sz w:val="24"/>
          <w:szCs w:val="24"/>
        </w:rPr>
        <w:t>Clitennestra</w:t>
      </w:r>
      <w:proofErr w:type="spellEnd"/>
      <w:r w:rsidR="00017ED2">
        <w:rPr>
          <w:rFonts w:ascii="Garamond" w:hAnsi="Garamond"/>
          <w:sz w:val="24"/>
          <w:szCs w:val="24"/>
        </w:rPr>
        <w:t xml:space="preserve">, e così via, potrebbero essere letti come atti performativi </w:t>
      </w:r>
      <w:r w:rsidR="001067A0">
        <w:rPr>
          <w:rFonts w:ascii="Garamond" w:hAnsi="Garamond"/>
          <w:sz w:val="24"/>
          <w:szCs w:val="24"/>
        </w:rPr>
        <w:t>di</w:t>
      </w:r>
      <w:r w:rsidR="00017ED2">
        <w:rPr>
          <w:rFonts w:ascii="Garamond" w:hAnsi="Garamond"/>
          <w:sz w:val="24"/>
          <w:szCs w:val="24"/>
        </w:rPr>
        <w:t xml:space="preserve"> carattere perlocutorio, i cui effetti, cioè, sono differiti nel tempo e </w:t>
      </w:r>
      <w:r w:rsidR="005442C4">
        <w:rPr>
          <w:rFonts w:ascii="Garamond" w:hAnsi="Garamond"/>
          <w:sz w:val="24"/>
          <w:szCs w:val="24"/>
        </w:rPr>
        <w:t>come tali intrinsecamente imprevedibili. Il fatto di p</w:t>
      </w:r>
      <w:r w:rsidR="00017ED2">
        <w:rPr>
          <w:rFonts w:ascii="Garamond" w:hAnsi="Garamond"/>
          <w:sz w:val="24"/>
          <w:szCs w:val="24"/>
        </w:rPr>
        <w:t>rodurre effetti non coincide, infatti, con il successo dell’atto performativo. Nel caso di Achille</w:t>
      </w:r>
      <w:r w:rsidR="005442C4">
        <w:rPr>
          <w:rFonts w:ascii="Garamond" w:hAnsi="Garamond"/>
          <w:sz w:val="24"/>
          <w:szCs w:val="24"/>
        </w:rPr>
        <w:t>, per esempio,</w:t>
      </w:r>
      <w:r w:rsidR="00017ED2">
        <w:rPr>
          <w:rFonts w:ascii="Garamond" w:hAnsi="Garamond"/>
          <w:sz w:val="24"/>
          <w:szCs w:val="24"/>
        </w:rPr>
        <w:t xml:space="preserve"> la </w:t>
      </w:r>
      <w:proofErr w:type="spellStart"/>
      <w:r w:rsidR="00017ED2">
        <w:rPr>
          <w:rFonts w:ascii="Garamond" w:hAnsi="Garamond"/>
          <w:sz w:val="24"/>
          <w:szCs w:val="24"/>
        </w:rPr>
        <w:t>perlocuzione</w:t>
      </w:r>
      <w:proofErr w:type="spellEnd"/>
      <w:r w:rsidR="00017ED2">
        <w:rPr>
          <w:rFonts w:ascii="Garamond" w:hAnsi="Garamond"/>
          <w:sz w:val="24"/>
          <w:szCs w:val="24"/>
        </w:rPr>
        <w:t xml:space="preserve"> è fallimentare: egli è refrattario ai richiami persuasivi della dea e</w:t>
      </w:r>
      <w:r w:rsidR="005442C4">
        <w:rPr>
          <w:rFonts w:ascii="Garamond" w:hAnsi="Garamond"/>
          <w:sz w:val="24"/>
          <w:szCs w:val="24"/>
        </w:rPr>
        <w:t xml:space="preserve"> testardamente</w:t>
      </w:r>
      <w:r w:rsidR="00017ED2">
        <w:rPr>
          <w:rFonts w:ascii="Garamond" w:hAnsi="Garamond"/>
          <w:sz w:val="24"/>
          <w:szCs w:val="24"/>
        </w:rPr>
        <w:t xml:space="preserve"> perseg</w:t>
      </w:r>
      <w:r w:rsidR="007A5923">
        <w:rPr>
          <w:rFonts w:ascii="Garamond" w:hAnsi="Garamond"/>
          <w:sz w:val="24"/>
          <w:szCs w:val="24"/>
        </w:rPr>
        <w:t xml:space="preserve">ue i </w:t>
      </w:r>
      <w:proofErr w:type="gramStart"/>
      <w:r w:rsidR="007A5923">
        <w:rPr>
          <w:rFonts w:ascii="Garamond" w:hAnsi="Garamond"/>
          <w:sz w:val="24"/>
          <w:szCs w:val="24"/>
        </w:rPr>
        <w:t>suoi propri</w:t>
      </w:r>
      <w:proofErr w:type="gramEnd"/>
      <w:r w:rsidR="007A5923">
        <w:rPr>
          <w:rFonts w:ascii="Garamond" w:hAnsi="Garamond"/>
          <w:sz w:val="24"/>
          <w:szCs w:val="24"/>
        </w:rPr>
        <w:t xml:space="preserve"> convincimenti. Probabilmente, u</w:t>
      </w:r>
      <w:r w:rsidR="000447DC">
        <w:rPr>
          <w:rFonts w:ascii="Garamond" w:hAnsi="Garamond"/>
          <w:sz w:val="24"/>
          <w:szCs w:val="24"/>
        </w:rPr>
        <w:t>na ricerca in tal senso</w:t>
      </w:r>
      <w:r w:rsidR="003A7061">
        <w:rPr>
          <w:rFonts w:ascii="Garamond" w:hAnsi="Garamond"/>
          <w:sz w:val="24"/>
          <w:szCs w:val="24"/>
        </w:rPr>
        <w:t xml:space="preserve"> </w:t>
      </w:r>
      <w:r w:rsidR="001067A0">
        <w:rPr>
          <w:rFonts w:ascii="Garamond" w:hAnsi="Garamond"/>
          <w:sz w:val="24"/>
          <w:szCs w:val="24"/>
        </w:rPr>
        <w:t>potrebbe contribuire a illuminare</w:t>
      </w:r>
      <w:r w:rsidR="00017ED2">
        <w:rPr>
          <w:rFonts w:ascii="Garamond" w:hAnsi="Garamond"/>
          <w:sz w:val="24"/>
          <w:szCs w:val="24"/>
        </w:rPr>
        <w:t xml:space="preserve"> </w:t>
      </w:r>
      <w:r w:rsidR="001067A0">
        <w:rPr>
          <w:rFonts w:ascii="Garamond" w:hAnsi="Garamond"/>
          <w:sz w:val="24"/>
          <w:szCs w:val="24"/>
        </w:rPr>
        <w:t xml:space="preserve">ulteriormente </w:t>
      </w:r>
      <w:r w:rsidR="00017ED2">
        <w:rPr>
          <w:rFonts w:ascii="Garamond" w:hAnsi="Garamond"/>
          <w:sz w:val="24"/>
          <w:szCs w:val="24"/>
        </w:rPr>
        <w:t xml:space="preserve">le </w:t>
      </w:r>
      <w:r w:rsidR="001067A0">
        <w:rPr>
          <w:rFonts w:ascii="Garamond" w:hAnsi="Garamond"/>
          <w:sz w:val="24"/>
          <w:szCs w:val="24"/>
        </w:rPr>
        <w:t xml:space="preserve">ricche </w:t>
      </w:r>
      <w:r w:rsidR="00017ED2">
        <w:rPr>
          <w:rFonts w:ascii="Garamond" w:hAnsi="Garamond"/>
          <w:sz w:val="24"/>
          <w:szCs w:val="24"/>
        </w:rPr>
        <w:t>dinamiche interne</w:t>
      </w:r>
      <w:r w:rsidR="001067A0">
        <w:rPr>
          <w:rFonts w:ascii="Garamond" w:hAnsi="Garamond"/>
          <w:sz w:val="24"/>
          <w:szCs w:val="24"/>
        </w:rPr>
        <w:t xml:space="preserve"> della persuasione</w:t>
      </w:r>
      <w:r w:rsidR="003A7061">
        <w:rPr>
          <w:rFonts w:ascii="Garamond" w:hAnsi="Garamond"/>
          <w:sz w:val="24"/>
          <w:szCs w:val="24"/>
        </w:rPr>
        <w:t>.</w:t>
      </w:r>
    </w:p>
    <w:p w:rsidR="00015BB3" w:rsidRDefault="000D24B4" w:rsidP="00670FD1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terzo luogo, colpisce non solo il nesso d</w:t>
      </w:r>
      <w:r w:rsidR="00017ED2">
        <w:rPr>
          <w:rFonts w:ascii="Garamond" w:hAnsi="Garamond"/>
          <w:sz w:val="24"/>
          <w:szCs w:val="24"/>
        </w:rPr>
        <w:t xml:space="preserve">ella persuasione con il potere – </w:t>
      </w:r>
      <w:r>
        <w:rPr>
          <w:rFonts w:ascii="Garamond" w:hAnsi="Garamond"/>
          <w:sz w:val="24"/>
          <w:szCs w:val="24"/>
        </w:rPr>
        <w:t>nella misura in cui</w:t>
      </w:r>
      <w:r w:rsidR="0074424A">
        <w:rPr>
          <w:rFonts w:ascii="Garamond" w:hAnsi="Garamond"/>
          <w:sz w:val="24"/>
          <w:szCs w:val="24"/>
        </w:rPr>
        <w:t>, come si è detto,</w:t>
      </w:r>
      <w:r>
        <w:rPr>
          <w:rFonts w:ascii="Garamond" w:hAnsi="Garamond"/>
          <w:sz w:val="24"/>
          <w:szCs w:val="24"/>
        </w:rPr>
        <w:t xml:space="preserve"> la persuasione appare come una </w:t>
      </w:r>
      <w:r w:rsidR="00A724DA">
        <w:rPr>
          <w:rFonts w:ascii="Garamond" w:hAnsi="Garamond"/>
          <w:sz w:val="24"/>
          <w:szCs w:val="24"/>
        </w:rPr>
        <w:t>dislocazione</w:t>
      </w:r>
      <w:r>
        <w:rPr>
          <w:rFonts w:ascii="Garamond" w:hAnsi="Garamond"/>
          <w:sz w:val="24"/>
          <w:szCs w:val="24"/>
        </w:rPr>
        <w:t xml:space="preserve"> discorsiva d</w:t>
      </w:r>
      <w:r w:rsidR="007A5923">
        <w:rPr>
          <w:rFonts w:ascii="Garamond" w:hAnsi="Garamond"/>
          <w:sz w:val="24"/>
          <w:szCs w:val="24"/>
        </w:rPr>
        <w:t>el</w:t>
      </w:r>
      <w:r>
        <w:rPr>
          <w:rFonts w:ascii="Garamond" w:hAnsi="Garamond"/>
          <w:sz w:val="24"/>
          <w:szCs w:val="24"/>
        </w:rPr>
        <w:t xml:space="preserve"> potere o, in termini freudiani, </w:t>
      </w:r>
      <w:r w:rsidR="0074424A">
        <w:rPr>
          <w:rFonts w:ascii="Garamond" w:hAnsi="Garamond"/>
          <w:sz w:val="24"/>
          <w:szCs w:val="24"/>
        </w:rPr>
        <w:t xml:space="preserve">come </w:t>
      </w:r>
      <w:r>
        <w:rPr>
          <w:rFonts w:ascii="Garamond" w:hAnsi="Garamond"/>
          <w:sz w:val="24"/>
          <w:szCs w:val="24"/>
        </w:rPr>
        <w:t>una sublimazione della forza</w:t>
      </w:r>
      <w:r w:rsidR="007A5923">
        <w:rPr>
          <w:rFonts w:ascii="Garamond" w:hAnsi="Garamond"/>
          <w:sz w:val="24"/>
          <w:szCs w:val="24"/>
        </w:rPr>
        <w:t xml:space="preserve"> in chiave di discorso</w:t>
      </w:r>
      <w:r w:rsidR="00017ED2">
        <w:rPr>
          <w:rFonts w:ascii="Garamond" w:hAnsi="Garamond"/>
          <w:sz w:val="24"/>
          <w:szCs w:val="24"/>
        </w:rPr>
        <w:t xml:space="preserve"> –</w:t>
      </w:r>
      <w:r>
        <w:rPr>
          <w:rFonts w:ascii="Garamond" w:hAnsi="Garamond"/>
          <w:sz w:val="24"/>
          <w:szCs w:val="24"/>
        </w:rPr>
        <w:t xml:space="preserve">, </w:t>
      </w:r>
      <w:r w:rsidR="00E443C8">
        <w:rPr>
          <w:rFonts w:ascii="Garamond" w:hAnsi="Garamond"/>
          <w:sz w:val="24"/>
          <w:szCs w:val="24"/>
        </w:rPr>
        <w:t xml:space="preserve">ma anche che </w:t>
      </w:r>
      <w:proofErr w:type="gramStart"/>
      <w:r w:rsidR="00E443C8">
        <w:rPr>
          <w:rFonts w:ascii="Garamond" w:hAnsi="Garamond"/>
          <w:sz w:val="24"/>
          <w:szCs w:val="24"/>
        </w:rPr>
        <w:t>le modalità persuasive messe</w:t>
      </w:r>
      <w:proofErr w:type="gramEnd"/>
      <w:r w:rsidR="00E443C8">
        <w:rPr>
          <w:rFonts w:ascii="Garamond" w:hAnsi="Garamond"/>
          <w:sz w:val="24"/>
          <w:szCs w:val="24"/>
        </w:rPr>
        <w:t xml:space="preserve"> in luce riflettono i rapporti di potere vigenti nell</w:t>
      </w:r>
      <w:r w:rsidR="0074424A">
        <w:rPr>
          <w:rFonts w:ascii="Garamond" w:hAnsi="Garamond"/>
          <w:sz w:val="24"/>
          <w:szCs w:val="24"/>
        </w:rPr>
        <w:t>a</w:t>
      </w:r>
      <w:r w:rsidR="00E443C8">
        <w:rPr>
          <w:rFonts w:ascii="Garamond" w:hAnsi="Garamond"/>
          <w:sz w:val="24"/>
          <w:szCs w:val="24"/>
        </w:rPr>
        <w:t xml:space="preserve"> società. </w:t>
      </w:r>
      <w:r w:rsidR="005B267E">
        <w:rPr>
          <w:rFonts w:ascii="Garamond" w:hAnsi="Garamond"/>
          <w:sz w:val="24"/>
          <w:szCs w:val="24"/>
        </w:rPr>
        <w:t xml:space="preserve">Si è </w:t>
      </w:r>
      <w:r w:rsidR="00CF23F0">
        <w:rPr>
          <w:rFonts w:ascii="Garamond" w:hAnsi="Garamond"/>
          <w:sz w:val="24"/>
          <w:szCs w:val="24"/>
        </w:rPr>
        <w:t>detto</w:t>
      </w:r>
      <w:r w:rsidR="005B267E">
        <w:rPr>
          <w:rFonts w:ascii="Garamond" w:hAnsi="Garamond"/>
          <w:sz w:val="24"/>
          <w:szCs w:val="24"/>
        </w:rPr>
        <w:t xml:space="preserve"> </w:t>
      </w:r>
      <w:r w:rsidR="00017ED2">
        <w:rPr>
          <w:rFonts w:ascii="Garamond" w:hAnsi="Garamond"/>
          <w:sz w:val="24"/>
          <w:szCs w:val="24"/>
        </w:rPr>
        <w:t>del</w:t>
      </w:r>
      <w:r w:rsidR="005B267E">
        <w:rPr>
          <w:rFonts w:ascii="Garamond" w:hAnsi="Garamond"/>
          <w:sz w:val="24"/>
          <w:szCs w:val="24"/>
        </w:rPr>
        <w:t xml:space="preserve">lo scarto in </w:t>
      </w:r>
      <w:r w:rsidR="000728FD">
        <w:rPr>
          <w:rFonts w:ascii="Garamond" w:hAnsi="Garamond"/>
          <w:sz w:val="24"/>
          <w:szCs w:val="24"/>
        </w:rPr>
        <w:t>termini politici</w:t>
      </w:r>
      <w:r w:rsidR="005B267E">
        <w:rPr>
          <w:rFonts w:ascii="Garamond" w:hAnsi="Garamond"/>
          <w:sz w:val="24"/>
          <w:szCs w:val="24"/>
        </w:rPr>
        <w:t xml:space="preserve"> fra i poemi omerici e l’opera di Eschilo: nei primi, la persuasione è forma disc</w:t>
      </w:r>
      <w:r w:rsidR="00017ED2">
        <w:rPr>
          <w:rFonts w:ascii="Garamond" w:hAnsi="Garamond"/>
          <w:sz w:val="24"/>
          <w:szCs w:val="24"/>
        </w:rPr>
        <w:t>orsiva esclusiva e privilegiata</w:t>
      </w:r>
      <w:r w:rsidR="005B267E">
        <w:rPr>
          <w:rFonts w:ascii="Garamond" w:hAnsi="Garamond"/>
          <w:sz w:val="24"/>
          <w:szCs w:val="24"/>
        </w:rPr>
        <w:t xml:space="preserve"> che persone di rango riservano ai propri pari; nella seconda</w:t>
      </w:r>
      <w:r w:rsidR="0077490A">
        <w:rPr>
          <w:rFonts w:ascii="Garamond" w:hAnsi="Garamond"/>
          <w:sz w:val="24"/>
          <w:szCs w:val="24"/>
        </w:rPr>
        <w:t>,</w:t>
      </w:r>
      <w:r w:rsidR="005B267E">
        <w:rPr>
          <w:rFonts w:ascii="Garamond" w:hAnsi="Garamond"/>
          <w:sz w:val="24"/>
          <w:szCs w:val="24"/>
        </w:rPr>
        <w:t xml:space="preserve"> essa </w:t>
      </w:r>
      <w:proofErr w:type="gramStart"/>
      <w:r w:rsidR="005B267E">
        <w:rPr>
          <w:rFonts w:ascii="Garamond" w:hAnsi="Garamond"/>
          <w:sz w:val="24"/>
          <w:szCs w:val="24"/>
        </w:rPr>
        <w:t>viene</w:t>
      </w:r>
      <w:proofErr w:type="gramEnd"/>
      <w:r w:rsidR="005B267E">
        <w:rPr>
          <w:rFonts w:ascii="Garamond" w:hAnsi="Garamond"/>
          <w:sz w:val="24"/>
          <w:szCs w:val="24"/>
        </w:rPr>
        <w:t xml:space="preserve"> inscritta nel </w:t>
      </w:r>
      <w:r w:rsidR="000728FD">
        <w:rPr>
          <w:rFonts w:ascii="Garamond" w:hAnsi="Garamond"/>
          <w:sz w:val="24"/>
          <w:szCs w:val="24"/>
        </w:rPr>
        <w:t xml:space="preserve">complesso </w:t>
      </w:r>
      <w:r w:rsidR="005B267E">
        <w:rPr>
          <w:rFonts w:ascii="Garamond" w:hAnsi="Garamond"/>
          <w:sz w:val="24"/>
          <w:szCs w:val="24"/>
        </w:rPr>
        <w:t>istituzionale della polis, come</w:t>
      </w:r>
      <w:r w:rsidR="00017ED2">
        <w:rPr>
          <w:rFonts w:ascii="Garamond" w:hAnsi="Garamond"/>
          <w:sz w:val="24"/>
          <w:szCs w:val="24"/>
        </w:rPr>
        <w:t xml:space="preserve"> movimento dell’</w:t>
      </w:r>
      <w:r w:rsidR="005B267E">
        <w:rPr>
          <w:rFonts w:ascii="Garamond" w:hAnsi="Garamond"/>
          <w:sz w:val="24"/>
          <w:szCs w:val="24"/>
        </w:rPr>
        <w:t xml:space="preserve">argomentare e </w:t>
      </w:r>
      <w:r w:rsidR="000728FD">
        <w:rPr>
          <w:rFonts w:ascii="Garamond" w:hAnsi="Garamond"/>
          <w:sz w:val="24"/>
          <w:szCs w:val="24"/>
        </w:rPr>
        <w:t xml:space="preserve">del </w:t>
      </w:r>
      <w:r w:rsidR="005B267E">
        <w:rPr>
          <w:rFonts w:ascii="Garamond" w:hAnsi="Garamond"/>
          <w:sz w:val="24"/>
          <w:szCs w:val="24"/>
        </w:rPr>
        <w:t xml:space="preserve">rendere ragione nell’arena pubblica. Le </w:t>
      </w:r>
      <w:proofErr w:type="gramStart"/>
      <w:r w:rsidR="005B267E">
        <w:rPr>
          <w:rFonts w:ascii="Garamond" w:hAnsi="Garamond"/>
          <w:sz w:val="24"/>
          <w:szCs w:val="24"/>
        </w:rPr>
        <w:t>modalità</w:t>
      </w:r>
      <w:proofErr w:type="gramEnd"/>
      <w:r w:rsidR="005B267E">
        <w:rPr>
          <w:rFonts w:ascii="Garamond" w:hAnsi="Garamond"/>
          <w:sz w:val="24"/>
          <w:szCs w:val="24"/>
        </w:rPr>
        <w:t xml:space="preserve"> della persuasione riflettono dunque dinamiche di potere</w:t>
      </w:r>
      <w:r w:rsidR="00017ED2">
        <w:rPr>
          <w:rFonts w:ascii="Garamond" w:hAnsi="Garamond"/>
          <w:sz w:val="24"/>
          <w:szCs w:val="24"/>
        </w:rPr>
        <w:t xml:space="preserve"> che si evolvono con la società</w:t>
      </w:r>
      <w:r w:rsidR="00CE68AA">
        <w:rPr>
          <w:rFonts w:ascii="Garamond" w:hAnsi="Garamond"/>
          <w:sz w:val="24"/>
          <w:szCs w:val="24"/>
        </w:rPr>
        <w:t>; c</w:t>
      </w:r>
      <w:r w:rsidR="005B267E">
        <w:rPr>
          <w:rFonts w:ascii="Garamond" w:hAnsi="Garamond"/>
          <w:sz w:val="24"/>
          <w:szCs w:val="24"/>
        </w:rPr>
        <w:t>ome forma di potere, essa riflette effettivamente le asimmetrie</w:t>
      </w:r>
      <w:r w:rsidR="0077490A">
        <w:rPr>
          <w:rFonts w:ascii="Garamond" w:hAnsi="Garamond"/>
          <w:sz w:val="24"/>
          <w:szCs w:val="24"/>
        </w:rPr>
        <w:t xml:space="preserve"> sociali</w:t>
      </w:r>
      <w:r w:rsidR="008E7A51">
        <w:rPr>
          <w:rFonts w:ascii="Garamond" w:hAnsi="Garamond"/>
          <w:sz w:val="24"/>
          <w:szCs w:val="24"/>
        </w:rPr>
        <w:t xml:space="preserve"> tipiche di un tempo. </w:t>
      </w:r>
      <w:r w:rsidR="000728FD">
        <w:rPr>
          <w:rFonts w:ascii="Garamond" w:hAnsi="Garamond"/>
          <w:sz w:val="24"/>
          <w:szCs w:val="24"/>
        </w:rPr>
        <w:t>Così, s</w:t>
      </w:r>
      <w:r w:rsidR="00415882">
        <w:rPr>
          <w:rFonts w:ascii="Garamond" w:hAnsi="Garamond"/>
          <w:sz w:val="24"/>
          <w:szCs w:val="24"/>
        </w:rPr>
        <w:t>e nella società greca del tempo le donne sono escluse dal discorso, allora la persuasione in forma di discorso non pu</w:t>
      </w:r>
      <w:r w:rsidR="00265563">
        <w:rPr>
          <w:rFonts w:ascii="Garamond" w:hAnsi="Garamond"/>
          <w:sz w:val="24"/>
          <w:szCs w:val="24"/>
        </w:rPr>
        <w:t>ò che essere riservata all’uomo –</w:t>
      </w:r>
      <w:r w:rsidR="00415882">
        <w:rPr>
          <w:rFonts w:ascii="Garamond" w:hAnsi="Garamond"/>
          <w:sz w:val="24"/>
          <w:szCs w:val="24"/>
        </w:rPr>
        <w:t xml:space="preserve"> l’unica </w:t>
      </w:r>
      <w:proofErr w:type="gramStart"/>
      <w:r w:rsidR="00415882">
        <w:rPr>
          <w:rFonts w:ascii="Garamond" w:hAnsi="Garamond"/>
          <w:sz w:val="24"/>
          <w:szCs w:val="24"/>
        </w:rPr>
        <w:t>modalità</w:t>
      </w:r>
      <w:proofErr w:type="gramEnd"/>
      <w:r w:rsidR="00415882">
        <w:rPr>
          <w:rFonts w:ascii="Garamond" w:hAnsi="Garamond"/>
          <w:sz w:val="24"/>
          <w:szCs w:val="24"/>
        </w:rPr>
        <w:t xml:space="preserve"> di persuasione concessa alle donne è </w:t>
      </w:r>
      <w:r w:rsidR="0045393C">
        <w:rPr>
          <w:rFonts w:ascii="Garamond" w:hAnsi="Garamond"/>
          <w:sz w:val="24"/>
          <w:szCs w:val="24"/>
        </w:rPr>
        <w:t xml:space="preserve">semmai </w:t>
      </w:r>
      <w:r w:rsidR="00415882">
        <w:rPr>
          <w:rFonts w:ascii="Garamond" w:hAnsi="Garamond"/>
          <w:sz w:val="24"/>
          <w:szCs w:val="24"/>
        </w:rPr>
        <w:t xml:space="preserve">quella, inferiore e </w:t>
      </w:r>
      <w:proofErr w:type="spellStart"/>
      <w:r w:rsidR="00415882">
        <w:rPr>
          <w:rFonts w:ascii="Garamond" w:hAnsi="Garamond"/>
          <w:sz w:val="24"/>
          <w:szCs w:val="24"/>
        </w:rPr>
        <w:t>preverbale</w:t>
      </w:r>
      <w:proofErr w:type="spellEnd"/>
      <w:r w:rsidR="00415882">
        <w:rPr>
          <w:rFonts w:ascii="Garamond" w:hAnsi="Garamond"/>
          <w:sz w:val="24"/>
          <w:szCs w:val="24"/>
        </w:rPr>
        <w:t xml:space="preserve">, della seduzione erotica. </w:t>
      </w:r>
    </w:p>
    <w:p w:rsidR="000C7A39" w:rsidRDefault="00C80B2B" w:rsidP="00300BD5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Infine, </w:t>
      </w:r>
      <w:r w:rsidR="00017ED2">
        <w:rPr>
          <w:rFonts w:ascii="Garamond" w:hAnsi="Garamond"/>
          <w:sz w:val="24"/>
          <w:szCs w:val="24"/>
        </w:rPr>
        <w:t xml:space="preserve">voglio </w:t>
      </w:r>
      <w:proofErr w:type="gramStart"/>
      <w:r w:rsidR="00017ED2">
        <w:rPr>
          <w:rFonts w:ascii="Garamond" w:hAnsi="Garamond"/>
          <w:sz w:val="24"/>
          <w:szCs w:val="24"/>
        </w:rPr>
        <w:t>concludere</w:t>
      </w:r>
      <w:proofErr w:type="gramEnd"/>
      <w:r w:rsidR="00017ED2">
        <w:rPr>
          <w:rFonts w:ascii="Garamond" w:hAnsi="Garamond"/>
          <w:sz w:val="24"/>
          <w:szCs w:val="24"/>
        </w:rPr>
        <w:t xml:space="preserve"> con </w:t>
      </w:r>
      <w:r>
        <w:rPr>
          <w:rFonts w:ascii="Garamond" w:hAnsi="Garamond"/>
          <w:sz w:val="24"/>
          <w:szCs w:val="24"/>
        </w:rPr>
        <w:t>un punto</w:t>
      </w:r>
      <w:r w:rsidR="00017ED2">
        <w:rPr>
          <w:rFonts w:ascii="Garamond" w:hAnsi="Garamond"/>
          <w:sz w:val="24"/>
          <w:szCs w:val="24"/>
        </w:rPr>
        <w:t xml:space="preserve"> </w:t>
      </w:r>
      <w:r w:rsidR="005C112A">
        <w:rPr>
          <w:rFonts w:ascii="Garamond" w:hAnsi="Garamond"/>
          <w:sz w:val="24"/>
          <w:szCs w:val="24"/>
        </w:rPr>
        <w:t>richiamato da</w:t>
      </w:r>
      <w:r>
        <w:rPr>
          <w:rFonts w:ascii="Garamond" w:hAnsi="Garamond"/>
          <w:sz w:val="24"/>
          <w:szCs w:val="24"/>
        </w:rPr>
        <w:t xml:space="preserve"> una domanda posta da Fiorinda Li Vigni: </w:t>
      </w:r>
      <w:r w:rsidR="00A724DA">
        <w:rPr>
          <w:rFonts w:ascii="Garamond" w:hAnsi="Garamond"/>
          <w:sz w:val="24"/>
          <w:szCs w:val="24"/>
        </w:rPr>
        <w:t>posta</w:t>
      </w:r>
      <w:r>
        <w:rPr>
          <w:rFonts w:ascii="Garamond" w:hAnsi="Garamond"/>
          <w:sz w:val="24"/>
          <w:szCs w:val="24"/>
        </w:rPr>
        <w:t xml:space="preserve"> l’ambiguità dei segni</w:t>
      </w:r>
      <w:r w:rsidR="0045393C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come distinguere la verità dalla menzogna? </w:t>
      </w:r>
      <w:r w:rsidR="0045393C">
        <w:rPr>
          <w:rFonts w:ascii="Garamond" w:hAnsi="Garamond"/>
          <w:sz w:val="24"/>
          <w:szCs w:val="24"/>
        </w:rPr>
        <w:t>Probabilmente, è proprio</w:t>
      </w:r>
      <w:r w:rsidR="00CE68AA">
        <w:rPr>
          <w:rFonts w:ascii="Garamond" w:hAnsi="Garamond"/>
          <w:sz w:val="24"/>
          <w:szCs w:val="24"/>
        </w:rPr>
        <w:t xml:space="preserve"> nella possibilità di rispondere a</w:t>
      </w:r>
      <w:r w:rsidR="0045393C">
        <w:rPr>
          <w:rFonts w:ascii="Garamond" w:hAnsi="Garamond"/>
          <w:sz w:val="24"/>
          <w:szCs w:val="24"/>
        </w:rPr>
        <w:t xml:space="preserve"> </w:t>
      </w:r>
      <w:r w:rsidR="00265563">
        <w:rPr>
          <w:rFonts w:ascii="Garamond" w:hAnsi="Garamond"/>
          <w:sz w:val="24"/>
          <w:szCs w:val="24"/>
        </w:rPr>
        <w:t xml:space="preserve">questa domanda che si gioca il significato politico </w:t>
      </w:r>
      <w:r w:rsidR="0045393C">
        <w:rPr>
          <w:rFonts w:ascii="Garamond" w:hAnsi="Garamond"/>
          <w:sz w:val="24"/>
          <w:szCs w:val="24"/>
        </w:rPr>
        <w:t xml:space="preserve">della persuasione. Si è visto che la persuasione può farsi strumento </w:t>
      </w:r>
      <w:proofErr w:type="gramStart"/>
      <w:r w:rsidR="0045393C">
        <w:rPr>
          <w:rFonts w:ascii="Garamond" w:hAnsi="Garamond"/>
          <w:sz w:val="24"/>
          <w:szCs w:val="24"/>
        </w:rPr>
        <w:t xml:space="preserve">di </w:t>
      </w:r>
      <w:proofErr w:type="gramEnd"/>
      <w:r w:rsidR="0045393C">
        <w:rPr>
          <w:rFonts w:ascii="Garamond" w:hAnsi="Garamond"/>
          <w:sz w:val="24"/>
          <w:szCs w:val="24"/>
        </w:rPr>
        <w:t>inganno, può sortire effetti manipolatori</w:t>
      </w:r>
      <w:r w:rsidR="00300BD5">
        <w:rPr>
          <w:rFonts w:ascii="Garamond" w:hAnsi="Garamond"/>
          <w:sz w:val="24"/>
          <w:szCs w:val="24"/>
        </w:rPr>
        <w:t>, è spesso declinata come demagogia</w:t>
      </w:r>
      <w:r w:rsidR="0045393C">
        <w:rPr>
          <w:rFonts w:ascii="Garamond" w:hAnsi="Garamond"/>
          <w:sz w:val="24"/>
          <w:szCs w:val="24"/>
        </w:rPr>
        <w:t xml:space="preserve">: che, in una parola, </w:t>
      </w:r>
      <w:r w:rsidR="00300BD5">
        <w:rPr>
          <w:rFonts w:ascii="Garamond" w:hAnsi="Garamond"/>
          <w:sz w:val="24"/>
          <w:szCs w:val="24"/>
        </w:rPr>
        <w:t xml:space="preserve">può mettersi al servizio della menzogna. </w:t>
      </w:r>
      <w:r w:rsidR="00C64529">
        <w:rPr>
          <w:rFonts w:ascii="Garamond" w:hAnsi="Garamond"/>
          <w:sz w:val="24"/>
          <w:szCs w:val="24"/>
        </w:rPr>
        <w:t xml:space="preserve">Tuttavia, </w:t>
      </w:r>
      <w:r w:rsidR="000728FD">
        <w:rPr>
          <w:rFonts w:ascii="Garamond" w:hAnsi="Garamond"/>
          <w:sz w:val="24"/>
          <w:szCs w:val="24"/>
        </w:rPr>
        <w:t xml:space="preserve">ciò non </w:t>
      </w:r>
      <w:r w:rsidR="003A5C61">
        <w:rPr>
          <w:rFonts w:ascii="Garamond" w:hAnsi="Garamond"/>
          <w:sz w:val="24"/>
          <w:szCs w:val="24"/>
        </w:rPr>
        <w:t xml:space="preserve">ci </w:t>
      </w:r>
      <w:r w:rsidR="000728FD">
        <w:rPr>
          <w:rFonts w:ascii="Garamond" w:hAnsi="Garamond"/>
          <w:sz w:val="24"/>
          <w:szCs w:val="24"/>
        </w:rPr>
        <w:t xml:space="preserve">esime in qualche modo dalla responsabilità di individuare </w:t>
      </w:r>
      <w:r w:rsidR="00E51D37">
        <w:rPr>
          <w:rFonts w:ascii="Garamond" w:hAnsi="Garamond"/>
          <w:sz w:val="24"/>
          <w:szCs w:val="24"/>
        </w:rPr>
        <w:t>un criterio per stabilire cosa</w:t>
      </w:r>
      <w:r w:rsidR="000728FD">
        <w:rPr>
          <w:rFonts w:ascii="Garamond" w:hAnsi="Garamond"/>
          <w:sz w:val="24"/>
          <w:szCs w:val="24"/>
        </w:rPr>
        <w:t>, nella persuasione, è verità</w:t>
      </w:r>
      <w:r w:rsidR="003A5C61">
        <w:rPr>
          <w:rFonts w:ascii="Garamond" w:hAnsi="Garamond"/>
          <w:sz w:val="24"/>
          <w:szCs w:val="24"/>
        </w:rPr>
        <w:t>, e cosa menzogna</w:t>
      </w:r>
      <w:r w:rsidR="000728FD">
        <w:rPr>
          <w:rFonts w:ascii="Garamond" w:hAnsi="Garamond"/>
          <w:sz w:val="24"/>
          <w:szCs w:val="24"/>
        </w:rPr>
        <w:t xml:space="preserve">, </w:t>
      </w:r>
      <w:proofErr w:type="gramStart"/>
      <w:r w:rsidR="000728FD">
        <w:rPr>
          <w:rFonts w:ascii="Garamond" w:hAnsi="Garamond"/>
          <w:sz w:val="24"/>
          <w:szCs w:val="24"/>
        </w:rPr>
        <w:t>dal momento che</w:t>
      </w:r>
      <w:proofErr w:type="gramEnd"/>
      <w:r w:rsidR="000728FD">
        <w:rPr>
          <w:rFonts w:ascii="Garamond" w:hAnsi="Garamond"/>
          <w:sz w:val="24"/>
          <w:szCs w:val="24"/>
        </w:rPr>
        <w:t xml:space="preserve"> n</w:t>
      </w:r>
      <w:r w:rsidR="00E51D37">
        <w:rPr>
          <w:rFonts w:ascii="Garamond" w:hAnsi="Garamond"/>
          <w:sz w:val="24"/>
          <w:szCs w:val="24"/>
        </w:rPr>
        <w:t xml:space="preserve">egare questa possibilità </w:t>
      </w:r>
      <w:r w:rsidR="00C64529">
        <w:rPr>
          <w:rFonts w:ascii="Garamond" w:hAnsi="Garamond"/>
          <w:sz w:val="24"/>
          <w:szCs w:val="24"/>
        </w:rPr>
        <w:t xml:space="preserve">ha </w:t>
      </w:r>
      <w:r w:rsidR="00E51D37">
        <w:rPr>
          <w:rFonts w:ascii="Garamond" w:hAnsi="Garamond"/>
          <w:sz w:val="24"/>
          <w:szCs w:val="24"/>
        </w:rPr>
        <w:t xml:space="preserve">esiti nichilistici </w:t>
      </w:r>
      <w:r w:rsidR="00300BD5">
        <w:rPr>
          <w:rFonts w:ascii="Garamond" w:hAnsi="Garamond"/>
          <w:sz w:val="24"/>
          <w:szCs w:val="24"/>
        </w:rPr>
        <w:t xml:space="preserve">o </w:t>
      </w:r>
      <w:r w:rsidR="00E51D37">
        <w:rPr>
          <w:rFonts w:ascii="Garamond" w:hAnsi="Garamond"/>
          <w:sz w:val="24"/>
          <w:szCs w:val="24"/>
        </w:rPr>
        <w:t>finanche triviali</w:t>
      </w:r>
      <w:r w:rsidR="000C7A39">
        <w:rPr>
          <w:rFonts w:ascii="Garamond" w:hAnsi="Garamond"/>
          <w:sz w:val="24"/>
          <w:szCs w:val="24"/>
        </w:rPr>
        <w:t>,</w:t>
      </w:r>
      <w:r w:rsidR="00A724DA">
        <w:rPr>
          <w:rFonts w:ascii="Garamond" w:hAnsi="Garamond"/>
          <w:sz w:val="24"/>
          <w:szCs w:val="24"/>
        </w:rPr>
        <w:t xml:space="preserve"> e che tale compito ha a che fare con la salvaguardia della democrazia</w:t>
      </w:r>
      <w:r w:rsidR="00E51D37">
        <w:rPr>
          <w:rFonts w:ascii="Garamond" w:hAnsi="Garamond"/>
          <w:sz w:val="24"/>
          <w:szCs w:val="24"/>
        </w:rPr>
        <w:t xml:space="preserve">. </w:t>
      </w:r>
      <w:r w:rsidR="000C7A39">
        <w:rPr>
          <w:rFonts w:ascii="Garamond" w:hAnsi="Garamond"/>
          <w:sz w:val="24"/>
          <w:szCs w:val="24"/>
        </w:rPr>
        <w:t xml:space="preserve">La democrazia è chiamata a prendere decisioni, e per farlo deve ricorrere al confronto discorsivo. Impedire che tale confronto sia “avvelenato”, è allora dovere di ogni membro della comunità democratica, nella misura in cui è suo interesse non sottoporsi a leggi scaturite da decisioni sbagliate. </w:t>
      </w:r>
    </w:p>
    <w:p w:rsidR="00850358" w:rsidRDefault="00C64529" w:rsidP="00300BD5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Può essere allora</w:t>
      </w:r>
      <w:r w:rsidRPr="00C6452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utile riflettere su una dinamica ricorrente nelle d</w:t>
      </w:r>
      <w:r w:rsidR="003A5C61">
        <w:rPr>
          <w:rFonts w:ascii="Garamond" w:hAnsi="Garamond"/>
          <w:sz w:val="24"/>
          <w:szCs w:val="24"/>
        </w:rPr>
        <w:t>emocrazie occidentali contemporanee</w:t>
      </w:r>
      <w:r>
        <w:rPr>
          <w:rFonts w:ascii="Garamond" w:hAnsi="Garamond"/>
          <w:sz w:val="24"/>
          <w:szCs w:val="24"/>
        </w:rPr>
        <w:t>, in cui il confine fra la menzogna e la verità appare labile e soggetto a distorsioni interessate, con gli effetti disastrosi per la quali</w:t>
      </w:r>
      <w:r w:rsidR="003A5C61">
        <w:rPr>
          <w:rFonts w:ascii="Garamond" w:hAnsi="Garamond"/>
          <w:sz w:val="24"/>
          <w:szCs w:val="24"/>
        </w:rPr>
        <w:t>tà della democrazia che</w:t>
      </w:r>
      <w:r w:rsidR="000728FD">
        <w:rPr>
          <w:rFonts w:ascii="Garamond" w:hAnsi="Garamond"/>
          <w:sz w:val="24"/>
          <w:szCs w:val="24"/>
        </w:rPr>
        <w:t xml:space="preserve"> una</w:t>
      </w:r>
      <w:r>
        <w:rPr>
          <w:rFonts w:ascii="Garamond" w:hAnsi="Garamond"/>
          <w:sz w:val="24"/>
          <w:szCs w:val="24"/>
        </w:rPr>
        <w:t xml:space="preserve"> delegittimazione della possibilità di distinguerle</w:t>
      </w:r>
      <w:r w:rsidR="003A5C61">
        <w:rPr>
          <w:rFonts w:ascii="Garamond" w:hAnsi="Garamond"/>
          <w:sz w:val="24"/>
          <w:szCs w:val="24"/>
        </w:rPr>
        <w:t xml:space="preserve"> comporta</w:t>
      </w:r>
      <w:r>
        <w:rPr>
          <w:rFonts w:ascii="Garamond" w:hAnsi="Garamond"/>
          <w:sz w:val="24"/>
          <w:szCs w:val="24"/>
        </w:rPr>
        <w:t>. C</w:t>
      </w:r>
      <w:r w:rsidR="00E51D37">
        <w:rPr>
          <w:rFonts w:ascii="Garamond" w:hAnsi="Garamond"/>
          <w:sz w:val="24"/>
          <w:szCs w:val="24"/>
        </w:rPr>
        <w:t>ome osserva Franca D’Agostini:</w:t>
      </w:r>
    </w:p>
    <w:p w:rsidR="000728FD" w:rsidRDefault="000728FD" w:rsidP="00300BD5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</w:p>
    <w:p w:rsidR="00850358" w:rsidRDefault="00850358" w:rsidP="00850358">
      <w:pPr>
        <w:spacing w:line="240" w:lineRule="auto"/>
        <w:ind w:left="567" w:right="566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«[nella] strategia </w:t>
      </w:r>
      <w:proofErr w:type="spellStart"/>
      <w:r>
        <w:rPr>
          <w:rFonts w:ascii="Garamond" w:hAnsi="Garamond"/>
          <w:sz w:val="24"/>
          <w:szCs w:val="24"/>
        </w:rPr>
        <w:t>retorico-argomentativa</w:t>
      </w:r>
      <w:proofErr w:type="spellEnd"/>
      <w:r>
        <w:rPr>
          <w:rFonts w:ascii="Garamond" w:hAnsi="Garamond"/>
          <w:sz w:val="24"/>
          <w:szCs w:val="24"/>
        </w:rPr>
        <w:t xml:space="preserve"> nota come avvelenamento del pozzo, si delegittima in anticipo qualunque cosa un avversario possa dire, insinuando il sospetto circa la sua cattiva fede, o scarsa correttezza, o scarsa </w:t>
      </w:r>
      <w:proofErr w:type="gramStart"/>
      <w:r>
        <w:rPr>
          <w:rFonts w:ascii="Garamond" w:hAnsi="Garamond"/>
          <w:sz w:val="24"/>
          <w:szCs w:val="24"/>
        </w:rPr>
        <w:t>credibilità</w:t>
      </w:r>
      <w:proofErr w:type="gramEnd"/>
      <w:r>
        <w:rPr>
          <w:rFonts w:ascii="Garamond" w:hAnsi="Garamond"/>
          <w:sz w:val="24"/>
          <w:szCs w:val="24"/>
        </w:rPr>
        <w:t xml:space="preserve"> […]. L’immagine rinvia evidentemente alla situazione in cui un minimo quantitativo di veleno, gettato in un pozzo, riesce a uccidere un’intera comunità […]. Le condizioni del dibattito pubblico nelle società democratiche (specie in Italia) sembrano adattarsi molto bene alla metafora, e anzi ne suggeriscono una versione generalizzata: qualsiasi verità </w:t>
      </w:r>
      <w:proofErr w:type="gramStart"/>
      <w:r>
        <w:rPr>
          <w:rFonts w:ascii="Garamond" w:hAnsi="Garamond"/>
          <w:sz w:val="24"/>
          <w:szCs w:val="24"/>
        </w:rPr>
        <w:t>risulta</w:t>
      </w:r>
      <w:proofErr w:type="gramEnd"/>
      <w:r>
        <w:rPr>
          <w:rFonts w:ascii="Garamond" w:hAnsi="Garamond"/>
          <w:sz w:val="24"/>
          <w:szCs w:val="24"/>
        </w:rPr>
        <w:t xml:space="preserve"> fin da principio contaminata da uno sfondo preliminare di sospetto. Allora la bontà (intesa come ‘</w:t>
      </w:r>
      <w:proofErr w:type="spellStart"/>
      <w:r>
        <w:rPr>
          <w:rFonts w:ascii="Garamond" w:hAnsi="Garamond"/>
          <w:sz w:val="24"/>
          <w:szCs w:val="24"/>
        </w:rPr>
        <w:t>soundness</w:t>
      </w:r>
      <w:proofErr w:type="spellEnd"/>
      <w:r>
        <w:rPr>
          <w:rFonts w:ascii="Garamond" w:hAnsi="Garamond"/>
          <w:sz w:val="24"/>
          <w:szCs w:val="24"/>
        </w:rPr>
        <w:t xml:space="preserve">’) degli argomenti perde ogni rilievo: ufficialmente tutti hanno torto […]. Il suo nome è nichilismo: tutti hanno torto, e non c’è verità; situazione peraltro equivalente al </w:t>
      </w:r>
      <w:proofErr w:type="spellStart"/>
      <w:r>
        <w:rPr>
          <w:rFonts w:ascii="Garamond" w:hAnsi="Garamond"/>
          <w:sz w:val="24"/>
          <w:szCs w:val="24"/>
        </w:rPr>
        <w:t>trivialismo</w:t>
      </w:r>
      <w:proofErr w:type="spellEnd"/>
      <w:r>
        <w:rPr>
          <w:rFonts w:ascii="Garamond" w:hAnsi="Garamond"/>
          <w:sz w:val="24"/>
          <w:szCs w:val="24"/>
        </w:rPr>
        <w:t>: tutti hanno ragione, e tutto è vero</w:t>
      </w:r>
      <w:proofErr w:type="gramStart"/>
      <w:r>
        <w:rPr>
          <w:rFonts w:ascii="Garamond" w:hAnsi="Garamond"/>
          <w:sz w:val="24"/>
          <w:szCs w:val="24"/>
        </w:rPr>
        <w:t>»</w:t>
      </w:r>
      <w:proofErr w:type="gramEnd"/>
      <w:r>
        <w:rPr>
          <w:rStyle w:val="FootnoteReference"/>
          <w:rFonts w:ascii="Garamond" w:hAnsi="Garamond"/>
          <w:sz w:val="24"/>
          <w:szCs w:val="24"/>
        </w:rPr>
        <w:footnoteReference w:id="6"/>
      </w:r>
      <w:proofErr w:type="gramStart"/>
      <w:r>
        <w:rPr>
          <w:rFonts w:ascii="Garamond" w:hAnsi="Garamond"/>
          <w:sz w:val="24"/>
          <w:szCs w:val="24"/>
        </w:rPr>
        <w:t>.</w:t>
      </w:r>
    </w:p>
    <w:p w:rsidR="000728FD" w:rsidRDefault="000728FD" w:rsidP="00850358">
      <w:pPr>
        <w:spacing w:line="240" w:lineRule="auto"/>
        <w:ind w:left="567" w:right="566"/>
        <w:contextualSpacing/>
        <w:jc w:val="both"/>
        <w:rPr>
          <w:rFonts w:ascii="Garamond" w:hAnsi="Garamond"/>
          <w:sz w:val="24"/>
          <w:szCs w:val="24"/>
        </w:rPr>
      </w:pPr>
      <w:proofErr w:type="gramEnd"/>
    </w:p>
    <w:p w:rsidR="00670FD1" w:rsidRDefault="0077490A" w:rsidP="00300BD5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qui l’importanza del</w:t>
      </w:r>
      <w:r w:rsidR="00300BD5">
        <w:rPr>
          <w:rFonts w:ascii="Garamond" w:hAnsi="Garamond"/>
          <w:sz w:val="24"/>
          <w:szCs w:val="24"/>
        </w:rPr>
        <w:t xml:space="preserve">la teoria dell’argomentazione, che normativamente </w:t>
      </w:r>
      <w:r w:rsidR="005C112A">
        <w:rPr>
          <w:rFonts w:ascii="Garamond" w:hAnsi="Garamond"/>
          <w:sz w:val="24"/>
          <w:szCs w:val="24"/>
        </w:rPr>
        <w:t>si propone di</w:t>
      </w:r>
      <w:r w:rsidR="00300BD5">
        <w:rPr>
          <w:rFonts w:ascii="Garamond" w:hAnsi="Garamond"/>
          <w:sz w:val="24"/>
          <w:szCs w:val="24"/>
        </w:rPr>
        <w:t xml:space="preserve"> individuare le regole </w:t>
      </w:r>
      <w:r w:rsidR="005C112A">
        <w:rPr>
          <w:rFonts w:ascii="Garamond" w:hAnsi="Garamond"/>
          <w:sz w:val="24"/>
          <w:szCs w:val="24"/>
        </w:rPr>
        <w:t>per i buoni argomenti</w:t>
      </w:r>
      <w:r w:rsidR="00300BD5">
        <w:rPr>
          <w:rFonts w:ascii="Garamond" w:hAnsi="Garamond"/>
          <w:sz w:val="24"/>
          <w:szCs w:val="24"/>
        </w:rPr>
        <w:t xml:space="preserve"> nel discorso informale</w:t>
      </w:r>
      <w:proofErr w:type="gramStart"/>
      <w:r w:rsidR="00300BD5">
        <w:rPr>
          <w:rStyle w:val="FootnoteReference"/>
          <w:rFonts w:ascii="Garamond" w:hAnsi="Garamond"/>
          <w:sz w:val="24"/>
          <w:szCs w:val="24"/>
        </w:rPr>
        <w:footnoteReference w:id="7"/>
      </w:r>
      <w:r w:rsidR="00300BD5">
        <w:rPr>
          <w:rFonts w:ascii="Garamond" w:hAnsi="Garamond"/>
          <w:sz w:val="24"/>
          <w:szCs w:val="24"/>
        </w:rPr>
        <w:t>.</w:t>
      </w:r>
      <w:proofErr w:type="gramEnd"/>
    </w:p>
    <w:p w:rsidR="000728FD" w:rsidRDefault="00C64529" w:rsidP="00300BD5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A724DA">
        <w:rPr>
          <w:rFonts w:ascii="Garamond" w:hAnsi="Garamond"/>
          <w:sz w:val="24"/>
          <w:szCs w:val="24"/>
        </w:rPr>
        <w:t xml:space="preserve">n conclusione, da quanto detto </w:t>
      </w:r>
      <w:r>
        <w:rPr>
          <w:rFonts w:ascii="Garamond" w:hAnsi="Garamond"/>
          <w:sz w:val="24"/>
          <w:szCs w:val="24"/>
        </w:rPr>
        <w:t>ritengo che un’accezione di persuasione da recuperare e valorizzare sia quella della persuasione come discorso argomentativo c</w:t>
      </w:r>
      <w:r w:rsidR="0029258B">
        <w:rPr>
          <w:rFonts w:ascii="Garamond" w:hAnsi="Garamond"/>
          <w:sz w:val="24"/>
          <w:szCs w:val="24"/>
        </w:rPr>
        <w:t>onvincente</w:t>
      </w:r>
      <w:r>
        <w:rPr>
          <w:rFonts w:ascii="Garamond" w:hAnsi="Garamond"/>
          <w:sz w:val="24"/>
          <w:szCs w:val="24"/>
        </w:rPr>
        <w:t xml:space="preserve">. Se il rapporto fra la verità e la politica è sempre </w:t>
      </w:r>
      <w:proofErr w:type="gramStart"/>
      <w:r>
        <w:rPr>
          <w:rFonts w:ascii="Garamond" w:hAnsi="Garamond"/>
          <w:sz w:val="24"/>
          <w:szCs w:val="24"/>
        </w:rPr>
        <w:t>problematico</w:t>
      </w:r>
      <w:proofErr w:type="gramEnd"/>
      <w:r>
        <w:rPr>
          <w:rFonts w:ascii="Garamond" w:hAnsi="Garamond"/>
          <w:sz w:val="24"/>
          <w:szCs w:val="24"/>
        </w:rPr>
        <w:t xml:space="preserve">, ciò non deve impedire, per così dire normativamente, che sia possibile illuminarne ogni volta il nesso, nella misura in cui ciò ha a che fare con la sopravvivenza stessa della democrazia. </w:t>
      </w:r>
      <w:r w:rsidR="0029258B">
        <w:rPr>
          <w:rFonts w:ascii="Garamond" w:hAnsi="Garamond"/>
          <w:sz w:val="24"/>
          <w:szCs w:val="24"/>
        </w:rPr>
        <w:t>Il gradie</w:t>
      </w:r>
      <w:r w:rsidR="00A724DA">
        <w:rPr>
          <w:rFonts w:ascii="Garamond" w:hAnsi="Garamond"/>
          <w:sz w:val="24"/>
          <w:szCs w:val="24"/>
        </w:rPr>
        <w:t xml:space="preserve">nte democratico di una società </w:t>
      </w:r>
      <w:r w:rsidR="0029258B">
        <w:rPr>
          <w:rFonts w:ascii="Garamond" w:hAnsi="Garamond"/>
          <w:sz w:val="24"/>
          <w:szCs w:val="24"/>
        </w:rPr>
        <w:t xml:space="preserve">si misura anche dalla qualità razionale e dal valore attribuito a questo senso della persuasione nello spazio pubblico. </w:t>
      </w:r>
    </w:p>
    <w:p w:rsidR="000728FD" w:rsidRDefault="000728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C64529" w:rsidRDefault="00C64529" w:rsidP="00300BD5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</w:p>
    <w:p w:rsidR="00D86782" w:rsidRPr="00D86782" w:rsidRDefault="00D86782" w:rsidP="00D86782">
      <w:pPr>
        <w:spacing w:line="276" w:lineRule="auto"/>
        <w:ind w:firstLine="284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</w:t>
      </w:r>
    </w:p>
    <w:p w:rsidR="00D86782" w:rsidRDefault="00D86782" w:rsidP="00300BD5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</w:p>
    <w:p w:rsidR="00F00A6A" w:rsidRDefault="00D86782" w:rsidP="00D86782">
      <w:pPr>
        <w:spacing w:line="276" w:lineRule="auto"/>
        <w:ind w:firstLine="284"/>
        <w:contextualSpacing/>
        <w:jc w:val="center"/>
        <w:rPr>
          <w:rFonts w:ascii="Garamond" w:hAnsi="Garamond"/>
          <w:b/>
          <w:sz w:val="24"/>
          <w:szCs w:val="24"/>
        </w:rPr>
      </w:pPr>
      <w:r w:rsidRPr="00D86782">
        <w:rPr>
          <w:rFonts w:ascii="Garamond" w:hAnsi="Garamond"/>
          <w:b/>
          <w:sz w:val="24"/>
          <w:szCs w:val="24"/>
        </w:rPr>
        <w:t xml:space="preserve">Lezione di S. Forti, </w:t>
      </w:r>
      <w:r w:rsidRPr="00F00A6A">
        <w:rPr>
          <w:rFonts w:ascii="Garamond" w:hAnsi="Garamond"/>
          <w:b/>
          <w:i/>
          <w:sz w:val="24"/>
          <w:szCs w:val="24"/>
        </w:rPr>
        <w:t>Ha ancora senso oggi parlare di male?</w:t>
      </w:r>
      <w:r w:rsidR="00F00A6A">
        <w:rPr>
          <w:rFonts w:ascii="Garamond" w:hAnsi="Garamond"/>
          <w:b/>
          <w:sz w:val="24"/>
          <w:szCs w:val="24"/>
        </w:rPr>
        <w:t xml:space="preserve"> </w:t>
      </w:r>
    </w:p>
    <w:p w:rsidR="00D86782" w:rsidRDefault="00F00A6A" w:rsidP="00D86782">
      <w:pPr>
        <w:spacing w:line="276" w:lineRule="auto"/>
        <w:ind w:firstLine="284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(</w:t>
      </w:r>
      <w:r w:rsidR="00D86782" w:rsidRPr="00D86782">
        <w:rPr>
          <w:rFonts w:ascii="Garamond" w:hAnsi="Garamond"/>
          <w:b/>
          <w:sz w:val="24"/>
          <w:szCs w:val="24"/>
        </w:rPr>
        <w:t>22 maggio 2015</w:t>
      </w:r>
      <w:r>
        <w:rPr>
          <w:rFonts w:ascii="Garamond" w:hAnsi="Garamond"/>
          <w:b/>
          <w:sz w:val="24"/>
          <w:szCs w:val="24"/>
        </w:rPr>
        <w:t>)</w:t>
      </w:r>
    </w:p>
    <w:p w:rsidR="00D86782" w:rsidRPr="00D86782" w:rsidRDefault="00D86782" w:rsidP="00300BD5">
      <w:pPr>
        <w:spacing w:line="276" w:lineRule="auto"/>
        <w:ind w:firstLine="284"/>
        <w:contextualSpacing/>
        <w:jc w:val="both"/>
        <w:rPr>
          <w:rFonts w:ascii="Garamond" w:hAnsi="Garamond"/>
          <w:b/>
          <w:sz w:val="24"/>
          <w:szCs w:val="24"/>
        </w:rPr>
      </w:pPr>
    </w:p>
    <w:p w:rsidR="00670FD1" w:rsidRPr="00066577" w:rsidRDefault="00066577" w:rsidP="00D8678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Garamond" w:hAnsi="Garamond"/>
          <w:i/>
          <w:sz w:val="24"/>
          <w:szCs w:val="24"/>
        </w:rPr>
      </w:pPr>
      <w:r w:rsidRPr="00066577">
        <w:rPr>
          <w:rFonts w:ascii="Garamond" w:hAnsi="Garamond"/>
          <w:i/>
          <w:sz w:val="24"/>
          <w:szCs w:val="24"/>
        </w:rPr>
        <w:t>Il male come sofferenza evitabile</w:t>
      </w:r>
    </w:p>
    <w:p w:rsidR="00C64529" w:rsidRDefault="00C80B2B" w:rsidP="00066577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Nell’ultima lezione, Simona Forti</w:t>
      </w:r>
      <w:r w:rsidR="00EF56E0">
        <w:rPr>
          <w:rFonts w:ascii="Garamond" w:hAnsi="Garamond"/>
          <w:sz w:val="24"/>
          <w:szCs w:val="24"/>
        </w:rPr>
        <w:t xml:space="preserve"> </w:t>
      </w:r>
      <w:r w:rsidR="00B3497E">
        <w:rPr>
          <w:rFonts w:ascii="Garamond" w:hAnsi="Garamond"/>
          <w:sz w:val="24"/>
          <w:szCs w:val="24"/>
        </w:rPr>
        <w:t>ha affrontato la questione</w:t>
      </w:r>
      <w:r w:rsidR="00EF56E0">
        <w:rPr>
          <w:rFonts w:ascii="Garamond" w:hAnsi="Garamond"/>
          <w:sz w:val="24"/>
          <w:szCs w:val="24"/>
        </w:rPr>
        <w:t xml:space="preserve"> se oggi possa ancora aver senso parlare di male. </w:t>
      </w:r>
      <w:r w:rsidR="00B3497E">
        <w:rPr>
          <w:rFonts w:ascii="Garamond" w:hAnsi="Garamond"/>
          <w:sz w:val="24"/>
          <w:szCs w:val="24"/>
        </w:rPr>
        <w:t>La risposta</w:t>
      </w:r>
      <w:r w:rsidR="00C64529">
        <w:rPr>
          <w:rFonts w:ascii="Garamond" w:hAnsi="Garamond"/>
          <w:sz w:val="24"/>
          <w:szCs w:val="24"/>
        </w:rPr>
        <w:t xml:space="preserve"> della docente</w:t>
      </w:r>
      <w:r w:rsidR="00B3497E">
        <w:rPr>
          <w:rFonts w:ascii="Garamond" w:hAnsi="Garamond"/>
          <w:sz w:val="24"/>
          <w:szCs w:val="24"/>
        </w:rPr>
        <w:t xml:space="preserve"> è sì, ma che il male non è riducibile alla rappresentazione banalmente dicotomica</w:t>
      </w:r>
      <w:r w:rsidR="00C64529">
        <w:rPr>
          <w:rFonts w:ascii="Garamond" w:hAnsi="Garamond"/>
          <w:sz w:val="24"/>
          <w:szCs w:val="24"/>
        </w:rPr>
        <w:t>, dominante nella filosofia,</w:t>
      </w:r>
      <w:r w:rsidR="00B3497E">
        <w:rPr>
          <w:rFonts w:ascii="Garamond" w:hAnsi="Garamond"/>
          <w:sz w:val="24"/>
          <w:szCs w:val="24"/>
        </w:rPr>
        <w:t xml:space="preserve"> che oppone semplicemente il carnefice alla vittima.</w:t>
      </w:r>
      <w:r w:rsidR="00D16369">
        <w:rPr>
          <w:rFonts w:ascii="Garamond" w:hAnsi="Garamond"/>
          <w:sz w:val="24"/>
          <w:szCs w:val="24"/>
        </w:rPr>
        <w:t xml:space="preserve"> </w:t>
      </w:r>
      <w:r w:rsidR="00C64529">
        <w:rPr>
          <w:rFonts w:ascii="Garamond" w:hAnsi="Garamond"/>
          <w:sz w:val="24"/>
          <w:szCs w:val="24"/>
        </w:rPr>
        <w:t xml:space="preserve">Per Forti la situazione è più complessa e come tale irriducibile a schematico dualismo. </w:t>
      </w:r>
    </w:p>
    <w:p w:rsidR="004D0A8F" w:rsidRDefault="00C64529" w:rsidP="001A7C6B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Vi sono </w:t>
      </w:r>
      <w:r w:rsidR="00C0654E">
        <w:rPr>
          <w:rFonts w:ascii="Garamond" w:hAnsi="Garamond"/>
          <w:sz w:val="24"/>
          <w:szCs w:val="24"/>
        </w:rPr>
        <w:t>nella filosofia occidentale</w:t>
      </w:r>
      <w:r>
        <w:rPr>
          <w:rFonts w:ascii="Garamond" w:hAnsi="Garamond"/>
          <w:sz w:val="24"/>
          <w:szCs w:val="24"/>
        </w:rPr>
        <w:t xml:space="preserve"> almeno due tendenze prevalenti. Da un lato, la filosofia del XX secolo ha rilanciato enfaticamente il concetto kantiano</w:t>
      </w:r>
      <w:r w:rsidR="00427A63" w:rsidRPr="00427A63">
        <w:rPr>
          <w:rFonts w:ascii="Garamond" w:hAnsi="Garamond"/>
          <w:sz w:val="24"/>
          <w:szCs w:val="24"/>
        </w:rPr>
        <w:t xml:space="preserve"> </w:t>
      </w:r>
      <w:r w:rsidR="00427A63">
        <w:rPr>
          <w:rFonts w:ascii="Garamond" w:hAnsi="Garamond"/>
          <w:sz w:val="24"/>
          <w:szCs w:val="24"/>
        </w:rPr>
        <w:t>di male radicale</w:t>
      </w:r>
      <w:r>
        <w:rPr>
          <w:rFonts w:ascii="Garamond" w:hAnsi="Garamond"/>
          <w:sz w:val="24"/>
          <w:szCs w:val="24"/>
        </w:rPr>
        <w:t>.</w:t>
      </w:r>
      <w:r w:rsidR="001A7C6B">
        <w:rPr>
          <w:rFonts w:ascii="Garamond" w:hAnsi="Garamond"/>
          <w:sz w:val="24"/>
          <w:szCs w:val="24"/>
        </w:rPr>
        <w:t xml:space="preserve"> Dall’altro, vi è</w:t>
      </w:r>
      <w:r w:rsidR="00777FDF">
        <w:rPr>
          <w:rFonts w:ascii="Garamond" w:hAnsi="Garamond"/>
          <w:sz w:val="24"/>
          <w:szCs w:val="24"/>
        </w:rPr>
        <w:t xml:space="preserve"> almeno </w:t>
      </w:r>
      <w:proofErr w:type="gramStart"/>
      <w:r w:rsidR="00777FDF">
        <w:rPr>
          <w:rFonts w:ascii="Garamond" w:hAnsi="Garamond"/>
          <w:sz w:val="24"/>
          <w:szCs w:val="24"/>
        </w:rPr>
        <w:t>a partire da</w:t>
      </w:r>
      <w:proofErr w:type="gramEnd"/>
      <w:r w:rsidR="00777FDF">
        <w:rPr>
          <w:rFonts w:ascii="Garamond" w:hAnsi="Garamond"/>
          <w:sz w:val="24"/>
          <w:szCs w:val="24"/>
        </w:rPr>
        <w:t xml:space="preserve"> Nietzsche</w:t>
      </w:r>
      <w:r w:rsidR="00C0654E">
        <w:rPr>
          <w:rFonts w:ascii="Garamond" w:hAnsi="Garamond"/>
          <w:sz w:val="24"/>
          <w:szCs w:val="24"/>
        </w:rPr>
        <w:t xml:space="preserve"> </w:t>
      </w:r>
      <w:r w:rsidR="00777FDF">
        <w:rPr>
          <w:rFonts w:ascii="Garamond" w:hAnsi="Garamond"/>
          <w:sz w:val="24"/>
          <w:szCs w:val="24"/>
        </w:rPr>
        <w:t>una tendenza a decostruire le categorie bene/male</w:t>
      </w:r>
      <w:r w:rsidR="001A7C6B">
        <w:rPr>
          <w:rFonts w:ascii="Garamond" w:hAnsi="Garamond"/>
          <w:sz w:val="24"/>
          <w:szCs w:val="24"/>
        </w:rPr>
        <w:t xml:space="preserve"> in ragione della loro compromissione con la metafisica. Tuttavia, </w:t>
      </w:r>
      <w:r w:rsidR="00C0654E">
        <w:rPr>
          <w:rFonts w:ascii="Garamond" w:hAnsi="Garamond"/>
          <w:sz w:val="24"/>
          <w:szCs w:val="24"/>
        </w:rPr>
        <w:t xml:space="preserve">osserva Forti, </w:t>
      </w:r>
      <w:r w:rsidR="001A7C6B">
        <w:rPr>
          <w:rFonts w:ascii="Garamond" w:hAnsi="Garamond"/>
          <w:sz w:val="24"/>
          <w:szCs w:val="24"/>
        </w:rPr>
        <w:t xml:space="preserve">l’intento </w:t>
      </w:r>
      <w:proofErr w:type="spellStart"/>
      <w:r w:rsidR="001A7C6B">
        <w:rPr>
          <w:rFonts w:ascii="Garamond" w:hAnsi="Garamond"/>
          <w:sz w:val="24"/>
          <w:szCs w:val="24"/>
        </w:rPr>
        <w:t>deco</w:t>
      </w:r>
      <w:r w:rsidR="00C0654E">
        <w:rPr>
          <w:rFonts w:ascii="Garamond" w:hAnsi="Garamond"/>
          <w:sz w:val="24"/>
          <w:szCs w:val="24"/>
        </w:rPr>
        <w:t>struttivo</w:t>
      </w:r>
      <w:proofErr w:type="spellEnd"/>
      <w:r w:rsidR="00C0654E">
        <w:rPr>
          <w:rFonts w:ascii="Garamond" w:hAnsi="Garamond"/>
          <w:sz w:val="24"/>
          <w:szCs w:val="24"/>
        </w:rPr>
        <w:t xml:space="preserve"> non deve </w:t>
      </w:r>
      <w:proofErr w:type="gramStart"/>
      <w:r w:rsidR="00C0654E">
        <w:rPr>
          <w:rFonts w:ascii="Garamond" w:hAnsi="Garamond"/>
          <w:sz w:val="24"/>
          <w:szCs w:val="24"/>
        </w:rPr>
        <w:t xml:space="preserve">ignorare </w:t>
      </w:r>
      <w:r w:rsidR="006F5954">
        <w:rPr>
          <w:rFonts w:ascii="Garamond" w:hAnsi="Garamond"/>
          <w:sz w:val="24"/>
          <w:szCs w:val="24"/>
        </w:rPr>
        <w:t xml:space="preserve">il fatto </w:t>
      </w:r>
      <w:r w:rsidR="00C0654E">
        <w:rPr>
          <w:rFonts w:ascii="Garamond" w:hAnsi="Garamond"/>
          <w:sz w:val="24"/>
          <w:szCs w:val="24"/>
        </w:rPr>
        <w:t>che</w:t>
      </w:r>
      <w:proofErr w:type="gramEnd"/>
      <w:r w:rsidR="006F5954">
        <w:rPr>
          <w:rFonts w:ascii="Garamond" w:hAnsi="Garamond"/>
          <w:sz w:val="24"/>
          <w:szCs w:val="24"/>
        </w:rPr>
        <w:t>,</w:t>
      </w:r>
      <w:r w:rsidR="001A7C6B">
        <w:rPr>
          <w:rFonts w:ascii="Garamond" w:hAnsi="Garamond"/>
          <w:sz w:val="24"/>
          <w:szCs w:val="24"/>
        </w:rPr>
        <w:t xml:space="preserve"> in un modo o nell’</w:t>
      </w:r>
      <w:r w:rsidR="00C0654E">
        <w:rPr>
          <w:rFonts w:ascii="Garamond" w:hAnsi="Garamond"/>
          <w:sz w:val="24"/>
          <w:szCs w:val="24"/>
        </w:rPr>
        <w:t>altro</w:t>
      </w:r>
      <w:r w:rsidR="00D969DD">
        <w:rPr>
          <w:rFonts w:ascii="Garamond" w:hAnsi="Garamond"/>
          <w:sz w:val="24"/>
          <w:szCs w:val="24"/>
        </w:rPr>
        <w:t>, si torni</w:t>
      </w:r>
      <w:r w:rsidR="001A7C6B">
        <w:rPr>
          <w:rFonts w:ascii="Garamond" w:hAnsi="Garamond"/>
          <w:sz w:val="24"/>
          <w:szCs w:val="24"/>
        </w:rPr>
        <w:t xml:space="preserve"> sempre a parlare di male: questo evidentemente testimonia di un bisogno espressivo </w:t>
      </w:r>
      <w:r w:rsidR="00777FDF">
        <w:rPr>
          <w:rFonts w:ascii="Garamond" w:hAnsi="Garamond"/>
          <w:sz w:val="24"/>
          <w:szCs w:val="24"/>
        </w:rPr>
        <w:t xml:space="preserve">che non può essere liquidato frettolosamente, </w:t>
      </w:r>
      <w:r w:rsidR="00C0654E">
        <w:rPr>
          <w:rFonts w:ascii="Garamond" w:hAnsi="Garamond"/>
          <w:sz w:val="24"/>
          <w:szCs w:val="24"/>
        </w:rPr>
        <w:t xml:space="preserve">e </w:t>
      </w:r>
      <w:r w:rsidR="00777FDF">
        <w:rPr>
          <w:rFonts w:ascii="Garamond" w:hAnsi="Garamond"/>
          <w:sz w:val="24"/>
          <w:szCs w:val="24"/>
        </w:rPr>
        <w:t xml:space="preserve">di cui bisogna rendere conto. Che cos’è, dunque, il male? Di certo ha a che fare con la sofferenza. </w:t>
      </w:r>
      <w:proofErr w:type="gramStart"/>
      <w:r w:rsidR="00D16369">
        <w:rPr>
          <w:rFonts w:ascii="Garamond" w:hAnsi="Garamond"/>
          <w:sz w:val="24"/>
          <w:szCs w:val="24"/>
        </w:rPr>
        <w:t>Ma</w:t>
      </w:r>
      <w:proofErr w:type="gramEnd"/>
      <w:r w:rsidR="00D16369">
        <w:rPr>
          <w:rFonts w:ascii="Garamond" w:hAnsi="Garamond"/>
          <w:sz w:val="24"/>
          <w:szCs w:val="24"/>
        </w:rPr>
        <w:t xml:space="preserve"> questo non dice ancora tutto, i</w:t>
      </w:r>
      <w:r w:rsidR="00777FDF">
        <w:rPr>
          <w:rFonts w:ascii="Garamond" w:hAnsi="Garamond"/>
          <w:sz w:val="24"/>
          <w:szCs w:val="24"/>
        </w:rPr>
        <w:t xml:space="preserve">l male è qualcosa di più: </w:t>
      </w:r>
      <w:r w:rsidR="006F5954">
        <w:rPr>
          <w:rFonts w:ascii="Garamond" w:hAnsi="Garamond"/>
          <w:sz w:val="24"/>
          <w:szCs w:val="24"/>
        </w:rPr>
        <w:t>il male ha a che fare con</w:t>
      </w:r>
      <w:r w:rsidR="00777FDF">
        <w:rPr>
          <w:rFonts w:ascii="Garamond" w:hAnsi="Garamond"/>
          <w:sz w:val="24"/>
          <w:szCs w:val="24"/>
        </w:rPr>
        <w:t xml:space="preserve"> una sofferenza </w:t>
      </w:r>
      <w:r w:rsidR="00777FDF" w:rsidRPr="00D16369">
        <w:rPr>
          <w:rFonts w:ascii="Garamond" w:hAnsi="Garamond"/>
          <w:i/>
          <w:sz w:val="24"/>
          <w:szCs w:val="24"/>
        </w:rPr>
        <w:t>evitabile</w:t>
      </w:r>
      <w:r w:rsidR="00777FDF">
        <w:rPr>
          <w:rFonts w:ascii="Garamond" w:hAnsi="Garamond"/>
          <w:sz w:val="24"/>
          <w:szCs w:val="24"/>
        </w:rPr>
        <w:t xml:space="preserve">, la </w:t>
      </w:r>
      <w:proofErr w:type="spellStart"/>
      <w:r w:rsidR="00777FDF">
        <w:rPr>
          <w:rFonts w:ascii="Garamond" w:hAnsi="Garamond"/>
          <w:sz w:val="24"/>
          <w:szCs w:val="24"/>
        </w:rPr>
        <w:t>dostoevskijana</w:t>
      </w:r>
      <w:proofErr w:type="spellEnd"/>
      <w:r w:rsidR="00777FDF">
        <w:rPr>
          <w:rFonts w:ascii="Garamond" w:hAnsi="Garamond"/>
          <w:sz w:val="24"/>
          <w:szCs w:val="24"/>
        </w:rPr>
        <w:t xml:space="preserve"> </w:t>
      </w:r>
      <w:r w:rsidR="00D16369">
        <w:rPr>
          <w:rFonts w:ascii="Garamond" w:hAnsi="Garamond"/>
          <w:sz w:val="24"/>
          <w:szCs w:val="24"/>
        </w:rPr>
        <w:t>«</w:t>
      </w:r>
      <w:r w:rsidR="00777FDF">
        <w:rPr>
          <w:rFonts w:ascii="Garamond" w:hAnsi="Garamond"/>
          <w:sz w:val="24"/>
          <w:szCs w:val="24"/>
        </w:rPr>
        <w:t>sofferenza inutile</w:t>
      </w:r>
      <w:r w:rsidR="00D16369">
        <w:rPr>
          <w:rFonts w:ascii="Garamond" w:hAnsi="Garamond"/>
          <w:sz w:val="24"/>
          <w:szCs w:val="24"/>
        </w:rPr>
        <w:t>»</w:t>
      </w:r>
      <w:r w:rsidR="00777FDF">
        <w:rPr>
          <w:rFonts w:ascii="Garamond" w:hAnsi="Garamond"/>
          <w:sz w:val="24"/>
          <w:szCs w:val="24"/>
        </w:rPr>
        <w:t xml:space="preserve">. </w:t>
      </w:r>
    </w:p>
    <w:p w:rsidR="00777FDF" w:rsidRDefault="00777FDF" w:rsidP="00066577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Un’incarnazione paradigmatica del male la troviamo nell’immagine del musulmano di Primo Levi, da </w:t>
      </w:r>
      <w:proofErr w:type="spellStart"/>
      <w:r>
        <w:rPr>
          <w:rFonts w:ascii="Garamond" w:hAnsi="Garamond"/>
          <w:sz w:val="24"/>
          <w:szCs w:val="24"/>
        </w:rPr>
        <w:t>Agamben</w:t>
      </w:r>
      <w:proofErr w:type="spellEnd"/>
      <w:r>
        <w:rPr>
          <w:rFonts w:ascii="Garamond" w:hAnsi="Garamond"/>
          <w:sz w:val="24"/>
          <w:szCs w:val="24"/>
        </w:rPr>
        <w:t xml:space="preserve"> qualificata come </w:t>
      </w:r>
      <w:proofErr w:type="gramStart"/>
      <w:r w:rsidR="00D16369">
        <w:rPr>
          <w:rFonts w:ascii="Garamond" w:hAnsi="Garamond"/>
          <w:sz w:val="24"/>
          <w:szCs w:val="24"/>
        </w:rPr>
        <w:t>«</w:t>
      </w:r>
      <w:proofErr w:type="gramEnd"/>
      <w:r>
        <w:rPr>
          <w:rFonts w:ascii="Garamond" w:hAnsi="Garamond"/>
          <w:sz w:val="24"/>
          <w:szCs w:val="24"/>
        </w:rPr>
        <w:t>nuda vita</w:t>
      </w:r>
      <w:r w:rsidR="00C72FA0">
        <w:rPr>
          <w:rFonts w:ascii="Garamond" w:hAnsi="Garamond"/>
          <w:sz w:val="24"/>
          <w:szCs w:val="24"/>
        </w:rPr>
        <w:t xml:space="preserve">» </w:t>
      </w:r>
      <w:r>
        <w:rPr>
          <w:rFonts w:ascii="Garamond" w:hAnsi="Garamond"/>
          <w:sz w:val="24"/>
          <w:szCs w:val="24"/>
        </w:rPr>
        <w:t xml:space="preserve">uccidibile senza reato. Siamo nell’ambito di quello che </w:t>
      </w:r>
      <w:proofErr w:type="spellStart"/>
      <w:r>
        <w:rPr>
          <w:rFonts w:ascii="Garamond" w:hAnsi="Garamond"/>
          <w:sz w:val="24"/>
          <w:szCs w:val="24"/>
        </w:rPr>
        <w:t>Cavarero</w:t>
      </w:r>
      <w:proofErr w:type="spellEnd"/>
      <w:r>
        <w:rPr>
          <w:rFonts w:ascii="Garamond" w:hAnsi="Garamond"/>
          <w:sz w:val="24"/>
          <w:szCs w:val="24"/>
        </w:rPr>
        <w:t xml:space="preserve"> ha chiamato </w:t>
      </w:r>
      <w:proofErr w:type="gramStart"/>
      <w:r w:rsidR="00C0654E">
        <w:rPr>
          <w:rFonts w:ascii="Garamond" w:hAnsi="Garamond"/>
          <w:sz w:val="24"/>
          <w:szCs w:val="24"/>
        </w:rPr>
        <w:t>«</w:t>
      </w:r>
      <w:proofErr w:type="spellStart"/>
      <w:proofErr w:type="gramEnd"/>
      <w:r>
        <w:rPr>
          <w:rFonts w:ascii="Garamond" w:hAnsi="Garamond"/>
          <w:sz w:val="24"/>
          <w:szCs w:val="24"/>
        </w:rPr>
        <w:t>orrorismo</w:t>
      </w:r>
      <w:proofErr w:type="spellEnd"/>
      <w:r w:rsidR="00C0654E">
        <w:rPr>
          <w:rFonts w:ascii="Garamond" w:hAnsi="Garamond"/>
          <w:sz w:val="24"/>
          <w:szCs w:val="24"/>
        </w:rPr>
        <w:t>»</w:t>
      </w:r>
      <w:r>
        <w:rPr>
          <w:rFonts w:ascii="Garamond" w:hAnsi="Garamond"/>
          <w:sz w:val="24"/>
          <w:szCs w:val="24"/>
        </w:rPr>
        <w:t xml:space="preserve">, e ha a che fare con la vita </w:t>
      </w:r>
      <w:proofErr w:type="spellStart"/>
      <w:r w:rsidRPr="000728FD">
        <w:rPr>
          <w:rFonts w:ascii="Garamond" w:hAnsi="Garamond"/>
          <w:i/>
          <w:sz w:val="24"/>
          <w:szCs w:val="24"/>
        </w:rPr>
        <w:t>desoggettivata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r w:rsidR="00C0654E">
        <w:rPr>
          <w:rFonts w:ascii="Garamond" w:hAnsi="Garamond"/>
          <w:sz w:val="24"/>
          <w:szCs w:val="24"/>
        </w:rPr>
        <w:t>Noto</w:t>
      </w:r>
      <w:proofErr w:type="gramStart"/>
      <w:r w:rsidR="00C0654E">
        <w:rPr>
          <w:rFonts w:ascii="Garamond" w:hAnsi="Garamond"/>
          <w:sz w:val="24"/>
          <w:szCs w:val="24"/>
        </w:rPr>
        <w:t xml:space="preserve"> infatti</w:t>
      </w:r>
      <w:proofErr w:type="gramEnd"/>
      <w:r w:rsidR="00C0654E">
        <w:rPr>
          <w:rFonts w:ascii="Garamond" w:hAnsi="Garamond"/>
          <w:sz w:val="24"/>
          <w:szCs w:val="24"/>
        </w:rPr>
        <w:t xml:space="preserve"> che </w:t>
      </w:r>
      <w:r>
        <w:rPr>
          <w:rFonts w:ascii="Garamond" w:hAnsi="Garamond"/>
          <w:sz w:val="24"/>
          <w:szCs w:val="24"/>
        </w:rPr>
        <w:t xml:space="preserve">Forti </w:t>
      </w:r>
      <w:r w:rsidR="00D16369">
        <w:rPr>
          <w:rFonts w:ascii="Garamond" w:hAnsi="Garamond"/>
          <w:sz w:val="24"/>
          <w:szCs w:val="24"/>
        </w:rPr>
        <w:t>ricorre spesso al termine «</w:t>
      </w:r>
      <w:proofErr w:type="spellStart"/>
      <w:r w:rsidR="00D16369">
        <w:rPr>
          <w:rFonts w:ascii="Garamond" w:hAnsi="Garamond"/>
          <w:sz w:val="24"/>
          <w:szCs w:val="24"/>
        </w:rPr>
        <w:t>desoggettivazione</w:t>
      </w:r>
      <w:proofErr w:type="spellEnd"/>
      <w:r w:rsidR="00D16369">
        <w:rPr>
          <w:rFonts w:ascii="Garamond" w:hAnsi="Garamond"/>
          <w:sz w:val="24"/>
          <w:szCs w:val="24"/>
        </w:rPr>
        <w:t>»</w:t>
      </w:r>
      <w:r w:rsidR="00C0654E">
        <w:rPr>
          <w:rFonts w:ascii="Garamond" w:hAnsi="Garamond"/>
          <w:sz w:val="24"/>
          <w:szCs w:val="24"/>
        </w:rPr>
        <w:t>, come a intendere che il male abbia a che fare con la perdita dell’identità, con il venir meno dell’individuazione cioè dei confini dell’io. La docente</w:t>
      </w:r>
      <w:r w:rsidR="00D1636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propone </w:t>
      </w:r>
      <w:r w:rsidR="00C0654E">
        <w:rPr>
          <w:rFonts w:ascii="Garamond" w:hAnsi="Garamond"/>
          <w:sz w:val="24"/>
          <w:szCs w:val="24"/>
        </w:rPr>
        <w:t>quindi l’immagine della</w:t>
      </w:r>
      <w:r>
        <w:rPr>
          <w:rFonts w:ascii="Garamond" w:hAnsi="Garamond"/>
          <w:sz w:val="24"/>
          <w:szCs w:val="24"/>
        </w:rPr>
        <w:t xml:space="preserve"> </w:t>
      </w:r>
      <w:proofErr w:type="gramStart"/>
      <w:r w:rsidR="00D16369">
        <w:rPr>
          <w:rFonts w:ascii="Garamond" w:hAnsi="Garamond"/>
          <w:sz w:val="24"/>
          <w:szCs w:val="24"/>
        </w:rPr>
        <w:t>«</w:t>
      </w:r>
      <w:proofErr w:type="gramEnd"/>
      <w:r>
        <w:rPr>
          <w:rFonts w:ascii="Garamond" w:hAnsi="Garamond"/>
          <w:sz w:val="24"/>
          <w:szCs w:val="24"/>
        </w:rPr>
        <w:t>vittima assoluta</w:t>
      </w:r>
      <w:r w:rsidR="00D16369">
        <w:rPr>
          <w:rFonts w:ascii="Garamond" w:hAnsi="Garamond"/>
          <w:sz w:val="24"/>
          <w:szCs w:val="24"/>
        </w:rPr>
        <w:t>»</w:t>
      </w:r>
      <w:r>
        <w:rPr>
          <w:rFonts w:ascii="Garamond" w:hAnsi="Garamond"/>
          <w:sz w:val="24"/>
          <w:szCs w:val="24"/>
        </w:rPr>
        <w:t>, come esito finale di dominio</w:t>
      </w:r>
      <w:r w:rsidR="00C72FA0">
        <w:rPr>
          <w:rFonts w:ascii="Garamond" w:hAnsi="Garamond"/>
          <w:sz w:val="24"/>
          <w:szCs w:val="24"/>
        </w:rPr>
        <w:t xml:space="preserve"> e immagine </w:t>
      </w:r>
      <w:r w:rsidR="00C0654E">
        <w:rPr>
          <w:rFonts w:ascii="Garamond" w:hAnsi="Garamond"/>
          <w:sz w:val="24"/>
          <w:szCs w:val="24"/>
        </w:rPr>
        <w:t>paradigma</w:t>
      </w:r>
      <w:r w:rsidR="00C72FA0">
        <w:rPr>
          <w:rFonts w:ascii="Garamond" w:hAnsi="Garamond"/>
          <w:sz w:val="24"/>
          <w:szCs w:val="24"/>
        </w:rPr>
        <w:t>tica</w:t>
      </w:r>
      <w:r w:rsidR="00C0654E">
        <w:rPr>
          <w:rFonts w:ascii="Garamond" w:hAnsi="Garamond"/>
          <w:sz w:val="24"/>
          <w:szCs w:val="24"/>
        </w:rPr>
        <w:t xml:space="preserve"> del male</w:t>
      </w:r>
      <w:r>
        <w:rPr>
          <w:rFonts w:ascii="Garamond" w:hAnsi="Garamond"/>
          <w:sz w:val="24"/>
          <w:szCs w:val="24"/>
        </w:rPr>
        <w:t xml:space="preserve">. </w:t>
      </w:r>
      <w:r w:rsidR="00C0654E">
        <w:rPr>
          <w:rFonts w:ascii="Garamond" w:hAnsi="Garamond"/>
          <w:sz w:val="24"/>
          <w:szCs w:val="24"/>
        </w:rPr>
        <w:t>Di più, i</w:t>
      </w:r>
      <w:r>
        <w:rPr>
          <w:rFonts w:ascii="Garamond" w:hAnsi="Garamond"/>
          <w:sz w:val="24"/>
          <w:szCs w:val="24"/>
        </w:rPr>
        <w:t xml:space="preserve">l male richiama </w:t>
      </w:r>
      <w:r w:rsidR="00D969DD">
        <w:rPr>
          <w:rFonts w:ascii="Garamond" w:hAnsi="Garamond"/>
          <w:sz w:val="24"/>
          <w:szCs w:val="24"/>
        </w:rPr>
        <w:t>«</w:t>
      </w:r>
      <w:r>
        <w:rPr>
          <w:rFonts w:ascii="Garamond" w:hAnsi="Garamond"/>
          <w:sz w:val="24"/>
          <w:szCs w:val="24"/>
        </w:rPr>
        <w:t>un sistema in cui tutti sono diventati superflui</w:t>
      </w:r>
      <w:r w:rsidR="00D969DD">
        <w:rPr>
          <w:rFonts w:ascii="Garamond" w:hAnsi="Garamond"/>
          <w:sz w:val="24"/>
          <w:szCs w:val="24"/>
        </w:rPr>
        <w:t>»</w:t>
      </w:r>
      <w:r>
        <w:rPr>
          <w:rFonts w:ascii="Garamond" w:hAnsi="Garamond"/>
          <w:sz w:val="24"/>
          <w:szCs w:val="24"/>
        </w:rPr>
        <w:t xml:space="preserve">, per citare </w:t>
      </w:r>
      <w:proofErr w:type="spellStart"/>
      <w:r>
        <w:rPr>
          <w:rFonts w:ascii="Garamond" w:hAnsi="Garamond"/>
          <w:sz w:val="24"/>
          <w:szCs w:val="24"/>
        </w:rPr>
        <w:t>Hannah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Arendt</w:t>
      </w:r>
      <w:proofErr w:type="spellEnd"/>
      <w:r>
        <w:rPr>
          <w:rFonts w:ascii="Garamond" w:hAnsi="Garamond"/>
          <w:sz w:val="24"/>
          <w:szCs w:val="24"/>
        </w:rPr>
        <w:t xml:space="preserve">, e in cui viene meno ogni fiducia nel </w:t>
      </w:r>
      <w:proofErr w:type="gramStart"/>
      <w:r>
        <w:rPr>
          <w:rFonts w:ascii="Garamond" w:hAnsi="Garamond"/>
          <w:sz w:val="24"/>
          <w:szCs w:val="24"/>
        </w:rPr>
        <w:t>contesto</w:t>
      </w:r>
      <w:proofErr w:type="gramEnd"/>
      <w:r>
        <w:rPr>
          <w:rFonts w:ascii="Garamond" w:hAnsi="Garamond"/>
          <w:sz w:val="24"/>
          <w:szCs w:val="24"/>
        </w:rPr>
        <w:t xml:space="preserve"> giuridico. </w:t>
      </w:r>
    </w:p>
    <w:p w:rsidR="00066577" w:rsidRPr="00066577" w:rsidRDefault="00066577" w:rsidP="00D8678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Garamond" w:hAnsi="Garamond"/>
          <w:i/>
          <w:sz w:val="24"/>
          <w:szCs w:val="24"/>
        </w:rPr>
      </w:pPr>
      <w:r w:rsidRPr="00066577">
        <w:rPr>
          <w:rFonts w:ascii="Garamond" w:hAnsi="Garamond"/>
          <w:i/>
          <w:sz w:val="24"/>
          <w:szCs w:val="24"/>
        </w:rPr>
        <w:t xml:space="preserve">Oltre il </w:t>
      </w:r>
      <w:proofErr w:type="gramStart"/>
      <w:r w:rsidR="004D0F20">
        <w:rPr>
          <w:rFonts w:ascii="Garamond" w:hAnsi="Garamond"/>
          <w:i/>
          <w:sz w:val="24"/>
          <w:szCs w:val="24"/>
        </w:rPr>
        <w:t>«</w:t>
      </w:r>
      <w:proofErr w:type="gramEnd"/>
      <w:r w:rsidRPr="00066577">
        <w:rPr>
          <w:rFonts w:ascii="Garamond" w:hAnsi="Garamond"/>
          <w:i/>
          <w:sz w:val="24"/>
          <w:szCs w:val="24"/>
        </w:rPr>
        <w:t>paradigma Dostoevskij</w:t>
      </w:r>
      <w:r w:rsidR="004D0F20">
        <w:rPr>
          <w:rFonts w:ascii="Garamond" w:hAnsi="Garamond"/>
          <w:i/>
          <w:sz w:val="24"/>
          <w:szCs w:val="24"/>
        </w:rPr>
        <w:t>»</w:t>
      </w:r>
    </w:p>
    <w:p w:rsidR="00F00A6A" w:rsidRDefault="00C0654E" w:rsidP="00F00A6A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Come anticipato, n</w:t>
      </w:r>
      <w:r w:rsidR="00777FDF">
        <w:rPr>
          <w:rFonts w:ascii="Garamond" w:hAnsi="Garamond"/>
          <w:sz w:val="24"/>
          <w:szCs w:val="24"/>
        </w:rPr>
        <w:t xml:space="preserve">elle rappresentazioni filosofiche correnti del male, osserva Forti, vi è sempre </w:t>
      </w:r>
      <w:r w:rsidR="00D16369">
        <w:rPr>
          <w:rFonts w:ascii="Garamond" w:hAnsi="Garamond"/>
          <w:sz w:val="24"/>
          <w:szCs w:val="24"/>
        </w:rPr>
        <w:t xml:space="preserve">1) </w:t>
      </w:r>
      <w:r>
        <w:rPr>
          <w:rFonts w:ascii="Garamond" w:hAnsi="Garamond"/>
          <w:sz w:val="24"/>
          <w:szCs w:val="24"/>
        </w:rPr>
        <w:t xml:space="preserve">il male </w:t>
      </w:r>
      <w:r w:rsidR="00C72FA0">
        <w:rPr>
          <w:rFonts w:ascii="Garamond" w:hAnsi="Garamond"/>
          <w:sz w:val="24"/>
          <w:szCs w:val="24"/>
        </w:rPr>
        <w:t>come</w:t>
      </w:r>
      <w:r w:rsidR="00777FDF">
        <w:rPr>
          <w:rFonts w:ascii="Garamond" w:hAnsi="Garamond"/>
          <w:sz w:val="24"/>
          <w:szCs w:val="24"/>
        </w:rPr>
        <w:t xml:space="preserve"> </w:t>
      </w:r>
      <w:proofErr w:type="gramStart"/>
      <w:r w:rsidR="00777FDF">
        <w:rPr>
          <w:rFonts w:ascii="Garamond" w:hAnsi="Garamond"/>
          <w:sz w:val="24"/>
          <w:szCs w:val="24"/>
        </w:rPr>
        <w:t xml:space="preserve">violenza estrema e </w:t>
      </w:r>
      <w:r w:rsidR="00D16369">
        <w:rPr>
          <w:rFonts w:ascii="Garamond" w:hAnsi="Garamond"/>
          <w:sz w:val="24"/>
          <w:szCs w:val="24"/>
        </w:rPr>
        <w:t>2</w:t>
      </w:r>
      <w:proofErr w:type="gramEnd"/>
      <w:r w:rsidR="00D16369">
        <w:rPr>
          <w:rFonts w:ascii="Garamond" w:hAnsi="Garamond"/>
          <w:sz w:val="24"/>
          <w:szCs w:val="24"/>
        </w:rPr>
        <w:t xml:space="preserve">) </w:t>
      </w:r>
      <w:r>
        <w:rPr>
          <w:rFonts w:ascii="Garamond" w:hAnsi="Garamond"/>
          <w:sz w:val="24"/>
          <w:szCs w:val="24"/>
        </w:rPr>
        <w:t xml:space="preserve">il male </w:t>
      </w:r>
      <w:r w:rsidR="006735DE">
        <w:rPr>
          <w:rFonts w:ascii="Garamond" w:hAnsi="Garamond"/>
          <w:sz w:val="24"/>
          <w:szCs w:val="24"/>
        </w:rPr>
        <w:t>come</w:t>
      </w:r>
      <w:r w:rsidR="004D0F20">
        <w:rPr>
          <w:rFonts w:ascii="Garamond" w:hAnsi="Garamond"/>
          <w:sz w:val="24"/>
          <w:szCs w:val="24"/>
        </w:rPr>
        <w:t xml:space="preserve"> scena a due, priva di attori intermedi:</w:t>
      </w:r>
      <w:r>
        <w:rPr>
          <w:rFonts w:ascii="Garamond" w:hAnsi="Garamond"/>
          <w:sz w:val="24"/>
          <w:szCs w:val="24"/>
        </w:rPr>
        <w:t xml:space="preserve"> segnatamente,</w:t>
      </w:r>
      <w:r w:rsidR="004D0F20">
        <w:rPr>
          <w:rFonts w:ascii="Garamond" w:hAnsi="Garamond"/>
          <w:sz w:val="24"/>
          <w:szCs w:val="24"/>
        </w:rPr>
        <w:t xml:space="preserve"> </w:t>
      </w:r>
      <w:r w:rsidR="00777FDF">
        <w:rPr>
          <w:rFonts w:ascii="Garamond" w:hAnsi="Garamond"/>
          <w:sz w:val="24"/>
          <w:szCs w:val="24"/>
        </w:rPr>
        <w:t xml:space="preserve">il carnefice e la vittima. </w:t>
      </w:r>
      <w:r w:rsidR="00D16369">
        <w:rPr>
          <w:rFonts w:ascii="Garamond" w:hAnsi="Garamond"/>
          <w:sz w:val="24"/>
          <w:szCs w:val="24"/>
        </w:rPr>
        <w:t xml:space="preserve">La filosofia </w:t>
      </w:r>
      <w:r w:rsidR="00F238D5">
        <w:rPr>
          <w:rFonts w:ascii="Garamond" w:hAnsi="Garamond"/>
          <w:sz w:val="24"/>
          <w:szCs w:val="24"/>
        </w:rPr>
        <w:t xml:space="preserve">è rimasta indietro rispetto alle </w:t>
      </w:r>
      <w:r w:rsidR="00D16369">
        <w:rPr>
          <w:rFonts w:ascii="Garamond" w:hAnsi="Garamond"/>
          <w:sz w:val="24"/>
          <w:szCs w:val="24"/>
        </w:rPr>
        <w:t>acquisizioni</w:t>
      </w:r>
      <w:r w:rsidR="00F238D5">
        <w:rPr>
          <w:rFonts w:ascii="Garamond" w:hAnsi="Garamond"/>
          <w:sz w:val="24"/>
          <w:szCs w:val="24"/>
        </w:rPr>
        <w:t xml:space="preserve"> della psicologia sociale, mettendo sotto accusa la malvagità senza complessità, senza staccarsi dalla visione rigidamente dualistica che oppone l’azione onnipotente del malvagio alla vittima passiva.</w:t>
      </w:r>
      <w:r w:rsidR="003A5069">
        <w:rPr>
          <w:rFonts w:ascii="Garamond" w:hAnsi="Garamond"/>
          <w:sz w:val="24"/>
          <w:szCs w:val="24"/>
        </w:rPr>
        <w:t xml:space="preserve"> Il male in tale </w:t>
      </w:r>
      <w:proofErr w:type="gramStart"/>
      <w:r w:rsidR="003A5069">
        <w:rPr>
          <w:rFonts w:ascii="Garamond" w:hAnsi="Garamond"/>
          <w:sz w:val="24"/>
          <w:szCs w:val="24"/>
        </w:rPr>
        <w:t>contesto</w:t>
      </w:r>
      <w:proofErr w:type="gramEnd"/>
      <w:r w:rsidR="003A5069">
        <w:rPr>
          <w:rFonts w:ascii="Garamond" w:hAnsi="Garamond"/>
          <w:sz w:val="24"/>
          <w:szCs w:val="24"/>
        </w:rPr>
        <w:t xml:space="preserve"> è</w:t>
      </w:r>
      <w:r w:rsidR="004D0F2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assimilato a </w:t>
      </w:r>
      <w:r w:rsidR="004D0F20">
        <w:rPr>
          <w:rFonts w:ascii="Garamond" w:hAnsi="Garamond"/>
          <w:sz w:val="24"/>
          <w:szCs w:val="24"/>
        </w:rPr>
        <w:t>mero</w:t>
      </w:r>
      <w:r>
        <w:rPr>
          <w:rFonts w:ascii="Garamond" w:hAnsi="Garamond"/>
          <w:sz w:val="24"/>
          <w:szCs w:val="24"/>
        </w:rPr>
        <w:t xml:space="preserve"> eccesso soggettivo</w:t>
      </w:r>
      <w:r w:rsidR="003A5069">
        <w:rPr>
          <w:rFonts w:ascii="Garamond" w:hAnsi="Garamond"/>
          <w:sz w:val="24"/>
          <w:szCs w:val="24"/>
        </w:rPr>
        <w:t xml:space="preserve"> che</w:t>
      </w:r>
      <w:r>
        <w:rPr>
          <w:rFonts w:ascii="Garamond" w:hAnsi="Garamond"/>
          <w:sz w:val="24"/>
          <w:szCs w:val="24"/>
        </w:rPr>
        <w:t xml:space="preserve"> vuole sostituire dio, secondo </w:t>
      </w:r>
      <w:r w:rsidR="003A5069">
        <w:rPr>
          <w:rFonts w:ascii="Garamond" w:hAnsi="Garamond"/>
          <w:sz w:val="24"/>
          <w:szCs w:val="24"/>
        </w:rPr>
        <w:t xml:space="preserve">quello che Forti chiama </w:t>
      </w:r>
      <w:r>
        <w:rPr>
          <w:rFonts w:ascii="Garamond" w:hAnsi="Garamond"/>
          <w:sz w:val="24"/>
          <w:szCs w:val="24"/>
        </w:rPr>
        <w:t>«</w:t>
      </w:r>
      <w:r w:rsidR="003A5069">
        <w:rPr>
          <w:rFonts w:ascii="Garamond" w:hAnsi="Garamond"/>
          <w:sz w:val="24"/>
          <w:szCs w:val="24"/>
        </w:rPr>
        <w:t>paradigma Dostoevskij</w:t>
      </w:r>
      <w:r>
        <w:rPr>
          <w:rFonts w:ascii="Garamond" w:hAnsi="Garamond"/>
          <w:sz w:val="24"/>
          <w:szCs w:val="24"/>
        </w:rPr>
        <w:t>»</w:t>
      </w:r>
      <w:r w:rsidR="003A5069">
        <w:rPr>
          <w:rFonts w:ascii="Garamond" w:hAnsi="Garamond"/>
          <w:sz w:val="24"/>
          <w:szCs w:val="24"/>
        </w:rPr>
        <w:t xml:space="preserve">. </w:t>
      </w:r>
      <w:proofErr w:type="gramStart"/>
      <w:r w:rsidR="003A5069">
        <w:rPr>
          <w:rFonts w:ascii="Garamond" w:hAnsi="Garamond"/>
          <w:sz w:val="24"/>
          <w:szCs w:val="24"/>
        </w:rPr>
        <w:t>Ma</w:t>
      </w:r>
      <w:proofErr w:type="gramEnd"/>
      <w:r w:rsidR="003A5069">
        <w:rPr>
          <w:rFonts w:ascii="Garamond" w:hAnsi="Garamond"/>
          <w:sz w:val="24"/>
          <w:szCs w:val="24"/>
        </w:rPr>
        <w:t xml:space="preserve"> pensare al male come mera </w:t>
      </w:r>
      <w:r>
        <w:rPr>
          <w:rFonts w:ascii="Garamond" w:hAnsi="Garamond"/>
          <w:sz w:val="24"/>
          <w:szCs w:val="24"/>
        </w:rPr>
        <w:t>«</w:t>
      </w:r>
      <w:r w:rsidR="003A5069">
        <w:rPr>
          <w:rFonts w:ascii="Garamond" w:hAnsi="Garamond"/>
          <w:sz w:val="24"/>
          <w:szCs w:val="24"/>
        </w:rPr>
        <w:t>metafisica della soggettività</w:t>
      </w:r>
      <w:r w:rsidR="00D46CC4">
        <w:rPr>
          <w:rFonts w:ascii="Garamond" w:hAnsi="Garamond"/>
          <w:sz w:val="24"/>
          <w:szCs w:val="24"/>
        </w:rPr>
        <w:t>»</w:t>
      </w:r>
      <w:r w:rsidR="003A5069">
        <w:rPr>
          <w:rFonts w:ascii="Garamond" w:hAnsi="Garamond"/>
          <w:sz w:val="24"/>
          <w:szCs w:val="24"/>
        </w:rPr>
        <w:t xml:space="preserve"> è parziale. </w:t>
      </w:r>
      <w:r w:rsidR="00D46CC4">
        <w:rPr>
          <w:rFonts w:ascii="Garamond" w:hAnsi="Garamond"/>
          <w:sz w:val="24"/>
          <w:szCs w:val="24"/>
        </w:rPr>
        <w:t>Che dire invece de</w:t>
      </w:r>
      <w:r w:rsidR="003A5069">
        <w:rPr>
          <w:rFonts w:ascii="Garamond" w:hAnsi="Garamond"/>
          <w:sz w:val="24"/>
          <w:szCs w:val="24"/>
        </w:rPr>
        <w:t>l desiderio ostinato di riconoscimento, che ci rende docili, conformisti</w:t>
      </w:r>
      <w:r w:rsidR="00D46CC4">
        <w:rPr>
          <w:rFonts w:ascii="Garamond" w:hAnsi="Garamond"/>
          <w:sz w:val="24"/>
          <w:szCs w:val="24"/>
        </w:rPr>
        <w:t>?</w:t>
      </w:r>
      <w:r w:rsidR="003A5069">
        <w:rPr>
          <w:rFonts w:ascii="Garamond" w:hAnsi="Garamond"/>
          <w:sz w:val="24"/>
          <w:szCs w:val="24"/>
        </w:rPr>
        <w:t xml:space="preserve"> </w:t>
      </w:r>
      <w:r w:rsidR="00D46CC4">
        <w:rPr>
          <w:rFonts w:ascii="Garamond" w:hAnsi="Garamond"/>
          <w:sz w:val="24"/>
          <w:szCs w:val="24"/>
        </w:rPr>
        <w:t xml:space="preserve">Per Forti </w:t>
      </w:r>
      <w:r w:rsidR="003A5069">
        <w:rPr>
          <w:rFonts w:ascii="Garamond" w:hAnsi="Garamond"/>
          <w:sz w:val="24"/>
          <w:szCs w:val="24"/>
        </w:rPr>
        <w:t>bisognerebbe</w:t>
      </w:r>
      <w:r w:rsidR="00D46CC4">
        <w:rPr>
          <w:rFonts w:ascii="Garamond" w:hAnsi="Garamond"/>
          <w:sz w:val="24"/>
          <w:szCs w:val="24"/>
        </w:rPr>
        <w:t xml:space="preserve"> cioè</w:t>
      </w:r>
      <w:r w:rsidR="003A5069">
        <w:rPr>
          <w:rFonts w:ascii="Garamond" w:hAnsi="Garamond"/>
          <w:sz w:val="24"/>
          <w:szCs w:val="24"/>
        </w:rPr>
        <w:t xml:space="preserve"> considerare </w:t>
      </w:r>
      <w:proofErr w:type="gramStart"/>
      <w:r w:rsidR="00D46CC4">
        <w:rPr>
          <w:rFonts w:ascii="Garamond" w:hAnsi="Garamond"/>
          <w:sz w:val="24"/>
          <w:szCs w:val="24"/>
        </w:rPr>
        <w:t>«</w:t>
      </w:r>
      <w:proofErr w:type="gramEnd"/>
      <w:r w:rsidR="003A5069">
        <w:rPr>
          <w:rFonts w:ascii="Garamond" w:hAnsi="Garamond"/>
          <w:sz w:val="24"/>
          <w:szCs w:val="24"/>
        </w:rPr>
        <w:t>il ruolo non innocente della passività e dell’obbedienza</w:t>
      </w:r>
      <w:r w:rsidR="00D46CC4">
        <w:rPr>
          <w:rFonts w:ascii="Garamond" w:hAnsi="Garamond"/>
          <w:sz w:val="24"/>
          <w:szCs w:val="24"/>
        </w:rPr>
        <w:t>»</w:t>
      </w:r>
      <w:r w:rsidR="003A5069">
        <w:rPr>
          <w:rFonts w:ascii="Garamond" w:hAnsi="Garamond"/>
          <w:sz w:val="24"/>
          <w:szCs w:val="24"/>
        </w:rPr>
        <w:t>, il desiderio di appartenenza e riconoscimento e volontà di vita</w:t>
      </w:r>
      <w:r w:rsidR="006735DE">
        <w:rPr>
          <w:rFonts w:ascii="Garamond" w:hAnsi="Garamond"/>
          <w:sz w:val="24"/>
          <w:szCs w:val="24"/>
        </w:rPr>
        <w:t xml:space="preserve"> che vi presiede</w:t>
      </w:r>
      <w:r w:rsidR="003A5069">
        <w:rPr>
          <w:rFonts w:ascii="Garamond" w:hAnsi="Garamond"/>
          <w:sz w:val="24"/>
          <w:szCs w:val="24"/>
        </w:rPr>
        <w:t xml:space="preserve">. </w:t>
      </w:r>
      <w:r w:rsidR="00F00A6A">
        <w:rPr>
          <w:rFonts w:ascii="Garamond" w:hAnsi="Garamond"/>
          <w:sz w:val="24"/>
          <w:szCs w:val="24"/>
        </w:rPr>
        <w:t xml:space="preserve">Ciò apre alla possibilità di considerare il male come </w:t>
      </w:r>
      <w:proofErr w:type="spellStart"/>
      <w:r w:rsidR="00F00A6A">
        <w:rPr>
          <w:rFonts w:ascii="Garamond" w:hAnsi="Garamond"/>
          <w:sz w:val="24"/>
          <w:szCs w:val="24"/>
        </w:rPr>
        <w:t>dispiegantesi</w:t>
      </w:r>
      <w:proofErr w:type="spellEnd"/>
      <w:r w:rsidR="00F00A6A">
        <w:rPr>
          <w:rFonts w:ascii="Garamond" w:hAnsi="Garamond"/>
          <w:sz w:val="24"/>
          <w:szCs w:val="24"/>
        </w:rPr>
        <w:t xml:space="preserve"> in una rete di relazioni</w:t>
      </w:r>
      <w:r w:rsidR="00C72FA0">
        <w:rPr>
          <w:rFonts w:ascii="Garamond" w:hAnsi="Garamond"/>
          <w:sz w:val="24"/>
          <w:szCs w:val="24"/>
        </w:rPr>
        <w:t>,</w:t>
      </w:r>
      <w:r w:rsidR="00F00A6A">
        <w:rPr>
          <w:rFonts w:ascii="Garamond" w:hAnsi="Garamond"/>
          <w:sz w:val="24"/>
          <w:szCs w:val="24"/>
        </w:rPr>
        <w:t xml:space="preserve"> irriducibile a una soggettività onnipotente. La domanda diventa allora: </w:t>
      </w:r>
      <w:proofErr w:type="gramStart"/>
      <w:r w:rsidR="00F00A6A">
        <w:rPr>
          <w:rFonts w:ascii="Garamond" w:hAnsi="Garamond"/>
          <w:sz w:val="24"/>
          <w:szCs w:val="24"/>
        </w:rPr>
        <w:t>«</w:t>
      </w:r>
      <w:proofErr w:type="gramEnd"/>
      <w:r w:rsidR="00F00A6A">
        <w:rPr>
          <w:rFonts w:ascii="Garamond" w:hAnsi="Garamond"/>
          <w:sz w:val="24"/>
          <w:szCs w:val="24"/>
        </w:rPr>
        <w:t xml:space="preserve">come si diventa soggetti obbedienti?». </w:t>
      </w:r>
    </w:p>
    <w:p w:rsidR="0029258B" w:rsidRDefault="00D46CC4" w:rsidP="00066577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suggerimento di Forti è cioè che il male sia</w:t>
      </w:r>
      <w:r w:rsidR="00BA2F5C">
        <w:rPr>
          <w:rFonts w:ascii="Garamond" w:hAnsi="Garamond"/>
          <w:sz w:val="24"/>
          <w:szCs w:val="24"/>
        </w:rPr>
        <w:t xml:space="preserve"> talora</w:t>
      </w:r>
      <w:r>
        <w:rPr>
          <w:rFonts w:ascii="Garamond" w:hAnsi="Garamond"/>
          <w:sz w:val="24"/>
          <w:szCs w:val="24"/>
        </w:rPr>
        <w:t xml:space="preserve"> anche partecipato, che vi sia un contributo da parte di chi lo subisce nel farlo sussistere</w:t>
      </w:r>
      <w:r w:rsidR="00D50E33">
        <w:rPr>
          <w:rFonts w:ascii="Garamond" w:hAnsi="Garamond"/>
          <w:sz w:val="24"/>
          <w:szCs w:val="24"/>
        </w:rPr>
        <w:t xml:space="preserve">, per ragioni che spaziano dalla domanda di riconoscimento al bisogno di appartenenza, a quella che </w:t>
      </w:r>
      <w:proofErr w:type="spellStart"/>
      <w:r w:rsidR="00D50E33">
        <w:rPr>
          <w:rFonts w:ascii="Garamond" w:hAnsi="Garamond"/>
          <w:sz w:val="24"/>
          <w:szCs w:val="24"/>
        </w:rPr>
        <w:t>nitzscheanamente</w:t>
      </w:r>
      <w:proofErr w:type="spellEnd"/>
      <w:r w:rsidR="00D50E33">
        <w:rPr>
          <w:rFonts w:ascii="Garamond" w:hAnsi="Garamond"/>
          <w:sz w:val="24"/>
          <w:szCs w:val="24"/>
        </w:rPr>
        <w:t xml:space="preserve"> chiama </w:t>
      </w:r>
      <w:proofErr w:type="gramStart"/>
      <w:r w:rsidR="00D50E33">
        <w:rPr>
          <w:rFonts w:ascii="Garamond" w:hAnsi="Garamond"/>
          <w:sz w:val="24"/>
          <w:szCs w:val="24"/>
        </w:rPr>
        <w:t>«</w:t>
      </w:r>
      <w:proofErr w:type="gramEnd"/>
      <w:r w:rsidR="00D50E33">
        <w:rPr>
          <w:rFonts w:ascii="Garamond" w:hAnsi="Garamond"/>
          <w:sz w:val="24"/>
          <w:szCs w:val="24"/>
        </w:rPr>
        <w:t>volontà di vita»</w:t>
      </w:r>
      <w:r>
        <w:rPr>
          <w:rFonts w:ascii="Garamond" w:hAnsi="Garamond"/>
          <w:sz w:val="24"/>
          <w:szCs w:val="24"/>
        </w:rPr>
        <w:t>. Il pensiero va al nazismo e, quindi, indirettamente anche al po</w:t>
      </w:r>
      <w:r w:rsidR="00204D64">
        <w:rPr>
          <w:rFonts w:ascii="Garamond" w:hAnsi="Garamond"/>
          <w:sz w:val="24"/>
          <w:szCs w:val="24"/>
        </w:rPr>
        <w:t>tere di cui si parlava in § 1. In quella sede s</w:t>
      </w:r>
      <w:r>
        <w:rPr>
          <w:rFonts w:ascii="Garamond" w:hAnsi="Garamond"/>
          <w:sz w:val="24"/>
          <w:szCs w:val="24"/>
        </w:rPr>
        <w:t xml:space="preserve">i è detto che il potere, come la persuasione, </w:t>
      </w:r>
      <w:r w:rsidR="00BA2F5C">
        <w:rPr>
          <w:rFonts w:ascii="Garamond" w:hAnsi="Garamond"/>
          <w:sz w:val="24"/>
          <w:szCs w:val="24"/>
        </w:rPr>
        <w:t xml:space="preserve">per funzionare </w:t>
      </w:r>
      <w:r>
        <w:rPr>
          <w:rFonts w:ascii="Garamond" w:hAnsi="Garamond"/>
          <w:sz w:val="24"/>
          <w:szCs w:val="24"/>
        </w:rPr>
        <w:t xml:space="preserve">richiede una qualche forma di </w:t>
      </w:r>
      <w:r w:rsidR="00204D64">
        <w:rPr>
          <w:rFonts w:ascii="Garamond" w:hAnsi="Garamond"/>
          <w:sz w:val="24"/>
          <w:szCs w:val="24"/>
        </w:rPr>
        <w:t>assenso da parte dei dominati. Evidentemente, l</w:t>
      </w:r>
      <w:r>
        <w:rPr>
          <w:rFonts w:ascii="Garamond" w:hAnsi="Garamond"/>
          <w:sz w:val="24"/>
          <w:szCs w:val="24"/>
        </w:rPr>
        <w:t>o stesso, secondo le rappresentazioni d</w:t>
      </w:r>
      <w:r w:rsidR="000728FD">
        <w:rPr>
          <w:rFonts w:ascii="Garamond" w:hAnsi="Garamond"/>
          <w:sz w:val="24"/>
          <w:szCs w:val="24"/>
        </w:rPr>
        <w:t xml:space="preserve">i Forti, </w:t>
      </w:r>
      <w:r w:rsidR="0029258B">
        <w:rPr>
          <w:rFonts w:ascii="Garamond" w:hAnsi="Garamond"/>
          <w:sz w:val="24"/>
          <w:szCs w:val="24"/>
        </w:rPr>
        <w:t>potrebbe dirsi del male,</w:t>
      </w:r>
      <w:r w:rsidR="000728FD">
        <w:rPr>
          <w:rFonts w:ascii="Garamond" w:hAnsi="Garamond"/>
          <w:sz w:val="24"/>
          <w:szCs w:val="24"/>
        </w:rPr>
        <w:t xml:space="preserve"> impedendo di esaurirlo</w:t>
      </w:r>
      <w:r>
        <w:rPr>
          <w:rFonts w:ascii="Garamond" w:hAnsi="Garamond"/>
          <w:sz w:val="24"/>
          <w:szCs w:val="24"/>
        </w:rPr>
        <w:t xml:space="preserve"> semplicemente nell’immagine del cattivo contro il buono,</w:t>
      </w:r>
      <w:r w:rsidR="0029258B">
        <w:rPr>
          <w:rFonts w:ascii="Garamond" w:hAnsi="Garamond"/>
          <w:sz w:val="24"/>
          <w:szCs w:val="24"/>
        </w:rPr>
        <w:t xml:space="preserve"> del prepotente contro l’inerme</w:t>
      </w:r>
      <w:r>
        <w:rPr>
          <w:rFonts w:ascii="Garamond" w:hAnsi="Garamond"/>
          <w:sz w:val="24"/>
          <w:szCs w:val="24"/>
        </w:rPr>
        <w:t xml:space="preserve">. </w:t>
      </w:r>
    </w:p>
    <w:p w:rsidR="00D46CC4" w:rsidRDefault="00D46CC4" w:rsidP="00066577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Tuttavia, </w:t>
      </w:r>
      <w:r w:rsidR="00BA2F5C">
        <w:rPr>
          <w:rFonts w:ascii="Garamond" w:hAnsi="Garamond"/>
          <w:sz w:val="24"/>
          <w:szCs w:val="24"/>
        </w:rPr>
        <w:t>l’impressione</w:t>
      </w:r>
      <w:r>
        <w:rPr>
          <w:rFonts w:ascii="Garamond" w:hAnsi="Garamond"/>
          <w:sz w:val="24"/>
          <w:szCs w:val="24"/>
        </w:rPr>
        <w:t xml:space="preserve"> è che il discorso così condotto abbia dei caratteri </w:t>
      </w:r>
      <w:proofErr w:type="gramStart"/>
      <w:r>
        <w:rPr>
          <w:rFonts w:ascii="Garamond" w:hAnsi="Garamond"/>
          <w:sz w:val="24"/>
          <w:szCs w:val="24"/>
        </w:rPr>
        <w:t xml:space="preserve">di </w:t>
      </w:r>
      <w:proofErr w:type="gramEnd"/>
      <w:r>
        <w:rPr>
          <w:rFonts w:ascii="Garamond" w:hAnsi="Garamond"/>
          <w:sz w:val="24"/>
          <w:szCs w:val="24"/>
        </w:rPr>
        <w:t xml:space="preserve">indeterminatezza tali da impedire di dire qualcosa che esuli </w:t>
      </w:r>
      <w:r w:rsidR="007925F1">
        <w:rPr>
          <w:rFonts w:ascii="Garamond" w:hAnsi="Garamond"/>
          <w:sz w:val="24"/>
          <w:szCs w:val="24"/>
        </w:rPr>
        <w:t>dalla sostituzione di</w:t>
      </w:r>
      <w:r>
        <w:rPr>
          <w:rFonts w:ascii="Garamond" w:hAnsi="Garamond"/>
          <w:sz w:val="24"/>
          <w:szCs w:val="24"/>
        </w:rPr>
        <w:t xml:space="preserve"> un paradigma </w:t>
      </w:r>
      <w:r w:rsidR="00204D64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un altro paradigma. </w:t>
      </w:r>
      <w:r w:rsidR="002D127E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 xml:space="preserve">on è </w:t>
      </w:r>
      <w:r w:rsidR="00D95A66">
        <w:rPr>
          <w:rFonts w:ascii="Garamond" w:hAnsi="Garamond"/>
          <w:sz w:val="24"/>
          <w:szCs w:val="24"/>
        </w:rPr>
        <w:t xml:space="preserve">allora </w:t>
      </w:r>
      <w:r>
        <w:rPr>
          <w:rFonts w:ascii="Garamond" w:hAnsi="Garamond"/>
          <w:sz w:val="24"/>
          <w:szCs w:val="24"/>
        </w:rPr>
        <w:t xml:space="preserve">inutile </w:t>
      </w:r>
      <w:r w:rsidR="00204D64">
        <w:rPr>
          <w:rFonts w:ascii="Garamond" w:hAnsi="Garamond"/>
          <w:sz w:val="24"/>
          <w:szCs w:val="24"/>
        </w:rPr>
        <w:t xml:space="preserve">in tale </w:t>
      </w:r>
      <w:proofErr w:type="gramStart"/>
      <w:r w:rsidR="00204D64">
        <w:rPr>
          <w:rFonts w:ascii="Garamond" w:hAnsi="Garamond"/>
          <w:sz w:val="24"/>
          <w:szCs w:val="24"/>
        </w:rPr>
        <w:t>contesto</w:t>
      </w:r>
      <w:proofErr w:type="gramEnd"/>
      <w:r w:rsidR="00204D6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 richiamo della stessa docente a recuperare</w:t>
      </w:r>
      <w:r w:rsidR="00204D64">
        <w:rPr>
          <w:rFonts w:ascii="Garamond" w:hAnsi="Garamond"/>
          <w:sz w:val="24"/>
          <w:szCs w:val="24"/>
        </w:rPr>
        <w:t xml:space="preserve"> alla filosofia</w:t>
      </w:r>
      <w:r>
        <w:rPr>
          <w:rFonts w:ascii="Garamond" w:hAnsi="Garamond"/>
          <w:sz w:val="24"/>
          <w:szCs w:val="24"/>
        </w:rPr>
        <w:t xml:space="preserve"> il terreno guadagnato dalla psicologia sociale: il discorso filosofico, spesso </w:t>
      </w:r>
      <w:r w:rsidR="00204D64">
        <w:rPr>
          <w:rFonts w:ascii="Garamond" w:hAnsi="Garamond"/>
          <w:sz w:val="24"/>
          <w:szCs w:val="24"/>
        </w:rPr>
        <w:t>perseguito</w:t>
      </w:r>
      <w:r>
        <w:rPr>
          <w:rFonts w:ascii="Garamond" w:hAnsi="Garamond"/>
          <w:sz w:val="24"/>
          <w:szCs w:val="24"/>
        </w:rPr>
        <w:t xml:space="preserve"> in assenza di referente cioè di </w:t>
      </w:r>
      <w:r w:rsidR="00D969DD">
        <w:rPr>
          <w:rFonts w:ascii="Garamond" w:hAnsi="Garamond"/>
          <w:sz w:val="24"/>
          <w:szCs w:val="24"/>
        </w:rPr>
        <w:t xml:space="preserve">riferimento a </w:t>
      </w:r>
      <w:r>
        <w:rPr>
          <w:rFonts w:ascii="Garamond" w:hAnsi="Garamond"/>
          <w:sz w:val="24"/>
          <w:szCs w:val="24"/>
        </w:rPr>
        <w:t>situazion</w:t>
      </w:r>
      <w:r w:rsidR="00204D64">
        <w:rPr>
          <w:rFonts w:ascii="Garamond" w:hAnsi="Garamond"/>
          <w:sz w:val="24"/>
          <w:szCs w:val="24"/>
        </w:rPr>
        <w:t xml:space="preserve">i </w:t>
      </w:r>
      <w:r w:rsidR="00C437AC">
        <w:rPr>
          <w:rFonts w:ascii="Garamond" w:hAnsi="Garamond"/>
          <w:sz w:val="24"/>
          <w:szCs w:val="24"/>
        </w:rPr>
        <w:t>circoscritte</w:t>
      </w:r>
      <w:r w:rsidR="0024757B">
        <w:rPr>
          <w:rFonts w:ascii="Garamond" w:hAnsi="Garamond"/>
          <w:sz w:val="24"/>
          <w:szCs w:val="24"/>
        </w:rPr>
        <w:t xml:space="preserve"> a partire dalle quali pensare</w:t>
      </w:r>
      <w:r w:rsidR="00204D64">
        <w:rPr>
          <w:rFonts w:ascii="Garamond" w:hAnsi="Garamond"/>
          <w:sz w:val="24"/>
          <w:szCs w:val="24"/>
        </w:rPr>
        <w:t xml:space="preserve"> il problema del male</w:t>
      </w:r>
      <w:r>
        <w:rPr>
          <w:rFonts w:ascii="Garamond" w:hAnsi="Garamond"/>
          <w:sz w:val="24"/>
          <w:szCs w:val="24"/>
        </w:rPr>
        <w:t xml:space="preserve">, rischia l’indeterminatezza. </w:t>
      </w:r>
      <w:r w:rsidR="00204D64">
        <w:rPr>
          <w:rFonts w:ascii="Garamond" w:hAnsi="Garamond"/>
          <w:sz w:val="24"/>
          <w:szCs w:val="24"/>
        </w:rPr>
        <w:t>Ancorare i d</w:t>
      </w:r>
      <w:r w:rsidR="007925F1">
        <w:rPr>
          <w:rFonts w:ascii="Garamond" w:hAnsi="Garamond"/>
          <w:sz w:val="24"/>
          <w:szCs w:val="24"/>
        </w:rPr>
        <w:t>is</w:t>
      </w:r>
      <w:r w:rsidR="00BA2F5C">
        <w:rPr>
          <w:rFonts w:ascii="Garamond" w:hAnsi="Garamond"/>
          <w:sz w:val="24"/>
          <w:szCs w:val="24"/>
        </w:rPr>
        <w:t xml:space="preserve">corsi sul male a un referente </w:t>
      </w:r>
      <w:r w:rsidR="007925F1">
        <w:rPr>
          <w:rFonts w:ascii="Garamond" w:hAnsi="Garamond"/>
          <w:sz w:val="24"/>
          <w:szCs w:val="24"/>
        </w:rPr>
        <w:t>tratto per esempio da</w:t>
      </w:r>
      <w:r w:rsidR="00BA2F5C">
        <w:rPr>
          <w:rFonts w:ascii="Garamond" w:hAnsi="Garamond"/>
          <w:sz w:val="24"/>
          <w:szCs w:val="24"/>
        </w:rPr>
        <w:t>lla psicologia sociale,</w:t>
      </w:r>
      <w:r w:rsidR="007925F1">
        <w:rPr>
          <w:rFonts w:ascii="Garamond" w:hAnsi="Garamond"/>
          <w:sz w:val="24"/>
          <w:szCs w:val="24"/>
        </w:rPr>
        <w:t xml:space="preserve"> </w:t>
      </w:r>
      <w:r w:rsidR="00204D64">
        <w:rPr>
          <w:rFonts w:ascii="Garamond" w:hAnsi="Garamond"/>
          <w:sz w:val="24"/>
          <w:szCs w:val="24"/>
        </w:rPr>
        <w:t>potrebbe premunire rispetto a generalizzazioni che inducono a dimenticare che</w:t>
      </w:r>
      <w:r w:rsidR="00F00A6A">
        <w:rPr>
          <w:rFonts w:ascii="Garamond" w:hAnsi="Garamond"/>
          <w:sz w:val="24"/>
          <w:szCs w:val="24"/>
        </w:rPr>
        <w:t xml:space="preserve"> i</w:t>
      </w:r>
      <w:r>
        <w:rPr>
          <w:rFonts w:ascii="Garamond" w:hAnsi="Garamond"/>
          <w:sz w:val="24"/>
          <w:szCs w:val="24"/>
        </w:rPr>
        <w:t xml:space="preserve">l male perpetrato in un </w:t>
      </w:r>
      <w:proofErr w:type="gramStart"/>
      <w:r>
        <w:rPr>
          <w:rFonts w:ascii="Garamond" w:hAnsi="Garamond"/>
          <w:sz w:val="24"/>
          <w:szCs w:val="24"/>
        </w:rPr>
        <w:t>contes</w:t>
      </w:r>
      <w:r w:rsidR="0024757B">
        <w:rPr>
          <w:rFonts w:ascii="Garamond" w:hAnsi="Garamond"/>
          <w:sz w:val="24"/>
          <w:szCs w:val="24"/>
        </w:rPr>
        <w:t>to</w:t>
      </w:r>
      <w:proofErr w:type="gramEnd"/>
      <w:r w:rsidR="0024757B">
        <w:rPr>
          <w:rFonts w:ascii="Garamond" w:hAnsi="Garamond"/>
          <w:sz w:val="24"/>
          <w:szCs w:val="24"/>
        </w:rPr>
        <w:t xml:space="preserve"> come quello del nazismo è </w:t>
      </w:r>
      <w:r>
        <w:rPr>
          <w:rFonts w:ascii="Garamond" w:hAnsi="Garamond"/>
          <w:sz w:val="24"/>
          <w:szCs w:val="24"/>
        </w:rPr>
        <w:t xml:space="preserve">male </w:t>
      </w:r>
      <w:r w:rsidR="00F00A6A">
        <w:rPr>
          <w:rFonts w:ascii="Garamond" w:hAnsi="Garamond"/>
          <w:sz w:val="24"/>
          <w:szCs w:val="24"/>
        </w:rPr>
        <w:t>abbastanza</w:t>
      </w:r>
      <w:r>
        <w:rPr>
          <w:rFonts w:ascii="Garamond" w:hAnsi="Garamond"/>
          <w:sz w:val="24"/>
          <w:szCs w:val="24"/>
        </w:rPr>
        <w:t xml:space="preserve"> diverso</w:t>
      </w:r>
      <w:r w:rsidR="00C437AC">
        <w:rPr>
          <w:rFonts w:ascii="Garamond" w:hAnsi="Garamond"/>
          <w:sz w:val="24"/>
          <w:szCs w:val="24"/>
        </w:rPr>
        <w:t>, per esempio,</w:t>
      </w:r>
      <w:r>
        <w:rPr>
          <w:rFonts w:ascii="Garamond" w:hAnsi="Garamond"/>
          <w:sz w:val="24"/>
          <w:szCs w:val="24"/>
        </w:rPr>
        <w:t xml:space="preserve"> dal male vissuto dal migrante che rischia o perde la vita nel viaggio disperato verso l’Europa. </w:t>
      </w:r>
      <w:r w:rsidR="00F00A6A">
        <w:rPr>
          <w:rFonts w:ascii="Garamond" w:hAnsi="Garamond"/>
          <w:sz w:val="24"/>
          <w:szCs w:val="24"/>
        </w:rPr>
        <w:t>I richiami alla complessità e alla partecipazione determinata dalla volontà di vita, dunque,</w:t>
      </w:r>
      <w:r w:rsidR="00BA2F5C">
        <w:rPr>
          <w:rFonts w:ascii="Garamond" w:hAnsi="Garamond"/>
          <w:sz w:val="24"/>
          <w:szCs w:val="24"/>
        </w:rPr>
        <w:t xml:space="preserve"> per essere efficaci</w:t>
      </w:r>
      <w:r w:rsidR="00F00A6A">
        <w:rPr>
          <w:rFonts w:ascii="Garamond" w:hAnsi="Garamond"/>
          <w:sz w:val="24"/>
          <w:szCs w:val="24"/>
        </w:rPr>
        <w:t xml:space="preserve"> andrebbero contestualizzati.</w:t>
      </w:r>
      <w:r w:rsidR="00072AAF">
        <w:rPr>
          <w:rFonts w:ascii="Garamond" w:hAnsi="Garamond"/>
          <w:sz w:val="24"/>
          <w:szCs w:val="24"/>
        </w:rPr>
        <w:t xml:space="preserve"> </w:t>
      </w:r>
      <w:r w:rsidR="00204D64">
        <w:rPr>
          <w:rFonts w:ascii="Garamond" w:hAnsi="Garamond"/>
          <w:sz w:val="24"/>
          <w:szCs w:val="24"/>
        </w:rPr>
        <w:t xml:space="preserve">Eppure, </w:t>
      </w:r>
      <w:r w:rsidR="0024757B">
        <w:rPr>
          <w:rFonts w:ascii="Garamond" w:hAnsi="Garamond"/>
          <w:sz w:val="24"/>
          <w:szCs w:val="24"/>
        </w:rPr>
        <w:t xml:space="preserve">si potrebbe obiettare, </w:t>
      </w:r>
      <w:r w:rsidR="00204D64">
        <w:rPr>
          <w:rFonts w:ascii="Garamond" w:hAnsi="Garamond"/>
          <w:sz w:val="24"/>
          <w:szCs w:val="24"/>
        </w:rPr>
        <w:t>il discorso filosofico è un discorso che mira alla natu</w:t>
      </w:r>
      <w:r w:rsidR="00D95A66">
        <w:rPr>
          <w:rFonts w:ascii="Garamond" w:hAnsi="Garamond"/>
          <w:sz w:val="24"/>
          <w:szCs w:val="24"/>
        </w:rPr>
        <w:t xml:space="preserve">ra e alla radice delle cose – </w:t>
      </w:r>
      <w:r w:rsidR="00BA2F5C">
        <w:rPr>
          <w:rFonts w:ascii="Garamond" w:hAnsi="Garamond"/>
          <w:sz w:val="24"/>
          <w:szCs w:val="24"/>
        </w:rPr>
        <w:t xml:space="preserve">cioè </w:t>
      </w:r>
      <w:r w:rsidR="00D95A66">
        <w:rPr>
          <w:rFonts w:ascii="Garamond" w:hAnsi="Garamond"/>
          <w:sz w:val="24"/>
          <w:szCs w:val="24"/>
        </w:rPr>
        <w:t>al</w:t>
      </w:r>
      <w:r w:rsidR="00204D64">
        <w:rPr>
          <w:rFonts w:ascii="Garamond" w:hAnsi="Garamond"/>
          <w:sz w:val="24"/>
          <w:szCs w:val="24"/>
        </w:rPr>
        <w:t xml:space="preserve"> vecchio </w:t>
      </w:r>
      <w:proofErr w:type="gramStart"/>
      <w:r w:rsidR="00C437AC">
        <w:rPr>
          <w:rFonts w:ascii="Garamond" w:hAnsi="Garamond"/>
          <w:i/>
          <w:sz w:val="24"/>
          <w:szCs w:val="24"/>
        </w:rPr>
        <w:t>ti</w:t>
      </w:r>
      <w:proofErr w:type="gramEnd"/>
      <w:r w:rsidR="00C437AC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C437AC">
        <w:rPr>
          <w:rFonts w:ascii="Garamond" w:hAnsi="Garamond"/>
          <w:i/>
          <w:sz w:val="24"/>
          <w:szCs w:val="24"/>
        </w:rPr>
        <w:t>esti</w:t>
      </w:r>
      <w:proofErr w:type="spellEnd"/>
      <w:r w:rsidR="00204D64" w:rsidRPr="007925F1">
        <w:rPr>
          <w:rFonts w:ascii="Garamond" w:hAnsi="Garamond"/>
          <w:i/>
          <w:sz w:val="24"/>
          <w:szCs w:val="24"/>
        </w:rPr>
        <w:t xml:space="preserve"> </w:t>
      </w:r>
      <w:r w:rsidR="00204D64" w:rsidRPr="007925F1">
        <w:rPr>
          <w:rFonts w:ascii="Garamond" w:hAnsi="Garamond"/>
          <w:sz w:val="24"/>
          <w:szCs w:val="24"/>
        </w:rPr>
        <w:t>greco</w:t>
      </w:r>
      <w:r w:rsidR="00D95A66">
        <w:rPr>
          <w:rFonts w:ascii="Garamond" w:hAnsi="Garamond"/>
          <w:sz w:val="24"/>
          <w:szCs w:val="24"/>
        </w:rPr>
        <w:t xml:space="preserve"> </w:t>
      </w:r>
      <w:r w:rsidR="00204D64">
        <w:rPr>
          <w:rFonts w:ascii="Garamond" w:hAnsi="Garamond"/>
          <w:sz w:val="24"/>
          <w:szCs w:val="24"/>
        </w:rPr>
        <w:t>– e che quindi, quando</w:t>
      </w:r>
      <w:r w:rsidR="00D95A66">
        <w:rPr>
          <w:rFonts w:ascii="Garamond" w:hAnsi="Garamond"/>
          <w:sz w:val="24"/>
          <w:szCs w:val="24"/>
        </w:rPr>
        <w:t xml:space="preserve"> si interroga sul male, ne </w:t>
      </w:r>
      <w:r w:rsidR="00BA2F5C">
        <w:rPr>
          <w:rFonts w:ascii="Garamond" w:hAnsi="Garamond"/>
          <w:sz w:val="24"/>
          <w:szCs w:val="24"/>
        </w:rPr>
        <w:t>interroga</w:t>
      </w:r>
      <w:r w:rsidR="0024757B">
        <w:rPr>
          <w:rFonts w:ascii="Garamond" w:hAnsi="Garamond"/>
          <w:sz w:val="24"/>
          <w:szCs w:val="24"/>
        </w:rPr>
        <w:t xml:space="preserve"> </w:t>
      </w:r>
      <w:r w:rsidR="00204D64">
        <w:rPr>
          <w:rFonts w:ascii="Garamond" w:hAnsi="Garamond"/>
          <w:sz w:val="24"/>
          <w:szCs w:val="24"/>
        </w:rPr>
        <w:t>in qualche modo la natura, l’identità ultima: vuole rispondere alla</w:t>
      </w:r>
      <w:r w:rsidR="00754FFD">
        <w:rPr>
          <w:rFonts w:ascii="Garamond" w:hAnsi="Garamond"/>
          <w:sz w:val="24"/>
          <w:szCs w:val="24"/>
        </w:rPr>
        <w:t xml:space="preserve"> domanda</w:t>
      </w:r>
      <w:r w:rsidR="00D95A66">
        <w:rPr>
          <w:rFonts w:ascii="Garamond" w:hAnsi="Garamond"/>
          <w:sz w:val="24"/>
          <w:szCs w:val="24"/>
        </w:rPr>
        <w:t xml:space="preserve"> </w:t>
      </w:r>
      <w:r w:rsidR="00D95A66" w:rsidRPr="00754FFD">
        <w:rPr>
          <w:rFonts w:ascii="Garamond" w:hAnsi="Garamond"/>
          <w:i/>
          <w:sz w:val="24"/>
          <w:szCs w:val="24"/>
        </w:rPr>
        <w:t>che cos’è il male?</w:t>
      </w:r>
      <w:r w:rsidR="00D95A66">
        <w:rPr>
          <w:rFonts w:ascii="Garamond" w:hAnsi="Garamond"/>
          <w:sz w:val="24"/>
          <w:szCs w:val="24"/>
        </w:rPr>
        <w:t xml:space="preserve">, </w:t>
      </w:r>
      <w:r w:rsidR="00204D64">
        <w:rPr>
          <w:rFonts w:ascii="Garamond" w:hAnsi="Garamond"/>
          <w:sz w:val="24"/>
          <w:szCs w:val="24"/>
        </w:rPr>
        <w:t xml:space="preserve">non già analizzarlo sociologicamente. </w:t>
      </w:r>
      <w:r w:rsidR="007925F1">
        <w:rPr>
          <w:rFonts w:ascii="Garamond" w:hAnsi="Garamond"/>
          <w:sz w:val="24"/>
          <w:szCs w:val="24"/>
        </w:rPr>
        <w:t xml:space="preserve">A tale obiezione si potrebbe rispondere che </w:t>
      </w:r>
      <w:r w:rsidR="007925F1" w:rsidRPr="007925F1">
        <w:rPr>
          <w:rFonts w:ascii="Garamond" w:hAnsi="Garamond"/>
          <w:i/>
          <w:sz w:val="24"/>
          <w:szCs w:val="24"/>
        </w:rPr>
        <w:t xml:space="preserve">a fortiori </w:t>
      </w:r>
      <w:r w:rsidR="007925F1">
        <w:rPr>
          <w:rFonts w:ascii="Garamond" w:hAnsi="Garamond"/>
          <w:sz w:val="24"/>
          <w:szCs w:val="24"/>
        </w:rPr>
        <w:t>un discorso sulla natura</w:t>
      </w:r>
      <w:r w:rsidR="00C437AC">
        <w:rPr>
          <w:rFonts w:ascii="Garamond" w:hAnsi="Garamond"/>
          <w:sz w:val="24"/>
          <w:szCs w:val="24"/>
        </w:rPr>
        <w:t xml:space="preserve"> – non metafisica –</w:t>
      </w:r>
      <w:r w:rsidR="007925F1">
        <w:rPr>
          <w:rFonts w:ascii="Garamond" w:hAnsi="Garamond"/>
          <w:sz w:val="24"/>
          <w:szCs w:val="24"/>
        </w:rPr>
        <w:t xml:space="preserve"> del male richiede di considerarne le specifiche </w:t>
      </w:r>
      <w:r w:rsidR="00BA2F5C">
        <w:rPr>
          <w:rFonts w:ascii="Garamond" w:hAnsi="Garamond"/>
          <w:sz w:val="24"/>
          <w:szCs w:val="24"/>
        </w:rPr>
        <w:t>condizioni</w:t>
      </w:r>
      <w:r w:rsidR="007925F1">
        <w:rPr>
          <w:rFonts w:ascii="Garamond" w:hAnsi="Garamond"/>
          <w:sz w:val="24"/>
          <w:szCs w:val="24"/>
        </w:rPr>
        <w:t xml:space="preserve"> </w:t>
      </w:r>
      <w:r w:rsidR="00D95A66">
        <w:rPr>
          <w:rFonts w:ascii="Garamond" w:hAnsi="Garamond"/>
          <w:sz w:val="24"/>
          <w:szCs w:val="24"/>
        </w:rPr>
        <w:t>di dispiegamento</w:t>
      </w:r>
      <w:r w:rsidR="007925F1">
        <w:rPr>
          <w:rFonts w:ascii="Garamond" w:hAnsi="Garamond"/>
          <w:sz w:val="24"/>
          <w:szCs w:val="24"/>
        </w:rPr>
        <w:t>. L’alternativa sarebbe un’analisi logica del concetto di male</w:t>
      </w:r>
      <w:r w:rsidR="00C437AC">
        <w:rPr>
          <w:rFonts w:ascii="Garamond" w:hAnsi="Garamond"/>
          <w:sz w:val="24"/>
          <w:szCs w:val="24"/>
        </w:rPr>
        <w:t>, alla stregua degli esempi medievali</w:t>
      </w:r>
      <w:r w:rsidR="007925F1">
        <w:rPr>
          <w:rFonts w:ascii="Garamond" w:hAnsi="Garamond"/>
          <w:sz w:val="24"/>
          <w:szCs w:val="24"/>
        </w:rPr>
        <w:t xml:space="preserve">, o un percorso </w:t>
      </w:r>
      <w:proofErr w:type="gramStart"/>
      <w:r w:rsidR="007925F1">
        <w:rPr>
          <w:rFonts w:ascii="Garamond" w:hAnsi="Garamond"/>
          <w:sz w:val="24"/>
          <w:szCs w:val="24"/>
        </w:rPr>
        <w:t>suggestivo</w:t>
      </w:r>
      <w:proofErr w:type="gramEnd"/>
      <w:r w:rsidR="007925F1">
        <w:rPr>
          <w:rFonts w:ascii="Garamond" w:hAnsi="Garamond"/>
          <w:sz w:val="24"/>
          <w:szCs w:val="24"/>
        </w:rPr>
        <w:t xml:space="preserve"> </w:t>
      </w:r>
      <w:r w:rsidR="00BA2F5C">
        <w:rPr>
          <w:rFonts w:ascii="Garamond" w:hAnsi="Garamond"/>
          <w:sz w:val="24"/>
          <w:szCs w:val="24"/>
        </w:rPr>
        <w:t xml:space="preserve">ma dopotutto fine a se stesso </w:t>
      </w:r>
      <w:r w:rsidR="007925F1">
        <w:rPr>
          <w:rFonts w:ascii="Garamond" w:hAnsi="Garamond"/>
          <w:sz w:val="24"/>
          <w:szCs w:val="24"/>
        </w:rPr>
        <w:t>fra le sue diverse rappresentazioni nella letteratura filosofica</w:t>
      </w:r>
      <w:r w:rsidR="00C437AC">
        <w:rPr>
          <w:rFonts w:ascii="Garamond" w:hAnsi="Garamond"/>
          <w:sz w:val="24"/>
          <w:szCs w:val="24"/>
        </w:rPr>
        <w:t>.</w:t>
      </w:r>
      <w:r w:rsidR="007925F1">
        <w:rPr>
          <w:rFonts w:ascii="Garamond" w:hAnsi="Garamond"/>
          <w:sz w:val="24"/>
          <w:szCs w:val="24"/>
        </w:rPr>
        <w:t xml:space="preserve"> </w:t>
      </w:r>
    </w:p>
    <w:p w:rsidR="007503E3" w:rsidRDefault="00F00A6A" w:rsidP="00284637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R</w:t>
      </w:r>
      <w:r w:rsidR="00D46CC4">
        <w:rPr>
          <w:rFonts w:ascii="Garamond" w:hAnsi="Garamond"/>
          <w:sz w:val="24"/>
          <w:szCs w:val="24"/>
        </w:rPr>
        <w:t>ealizzo</w:t>
      </w:r>
      <w:proofErr w:type="gramEnd"/>
      <w:r>
        <w:rPr>
          <w:rFonts w:ascii="Garamond" w:hAnsi="Garamond"/>
          <w:sz w:val="24"/>
          <w:szCs w:val="24"/>
        </w:rPr>
        <w:t xml:space="preserve"> allora</w:t>
      </w:r>
      <w:r w:rsidR="00D46CC4">
        <w:rPr>
          <w:rFonts w:ascii="Garamond" w:hAnsi="Garamond"/>
          <w:sz w:val="24"/>
          <w:szCs w:val="24"/>
        </w:rPr>
        <w:t xml:space="preserve"> che nel discorso della docente ricorre</w:t>
      </w:r>
      <w:r w:rsidR="007925F1">
        <w:rPr>
          <w:rFonts w:ascii="Garamond" w:hAnsi="Garamond"/>
          <w:sz w:val="24"/>
          <w:szCs w:val="24"/>
        </w:rPr>
        <w:t xml:space="preserve"> spesso</w:t>
      </w:r>
      <w:r w:rsidR="00D46CC4">
        <w:rPr>
          <w:rFonts w:ascii="Garamond" w:hAnsi="Garamond"/>
          <w:sz w:val="24"/>
          <w:szCs w:val="24"/>
        </w:rPr>
        <w:t xml:space="preserve"> l’espressione «male politico»</w:t>
      </w:r>
      <w:r w:rsidR="007925F1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 che probabilmente è in tale espressione che è possibile individuare un referente più sicuro</w:t>
      </w:r>
      <w:r w:rsidR="0024757B">
        <w:rPr>
          <w:rFonts w:ascii="Garamond" w:hAnsi="Garamond"/>
          <w:sz w:val="24"/>
          <w:szCs w:val="24"/>
        </w:rPr>
        <w:t xml:space="preserve"> cui ancorare la riflessione</w:t>
      </w:r>
      <w:r w:rsidR="00D969DD">
        <w:rPr>
          <w:rFonts w:ascii="Garamond" w:hAnsi="Garamond"/>
          <w:sz w:val="24"/>
          <w:szCs w:val="24"/>
        </w:rPr>
        <w:t>. N</w:t>
      </w:r>
      <w:r>
        <w:rPr>
          <w:rFonts w:ascii="Garamond" w:hAnsi="Garamond"/>
          <w:sz w:val="24"/>
          <w:szCs w:val="24"/>
        </w:rPr>
        <w:t>el suo discorso, l</w:t>
      </w:r>
      <w:r w:rsidR="00D46CC4">
        <w:rPr>
          <w:rFonts w:ascii="Garamond" w:hAnsi="Garamond"/>
          <w:sz w:val="24"/>
          <w:szCs w:val="24"/>
        </w:rPr>
        <w:t xml:space="preserve">a docente si riferisce evidentemente al </w:t>
      </w:r>
      <w:r w:rsidR="00C45177">
        <w:rPr>
          <w:rFonts w:ascii="Garamond" w:hAnsi="Garamond"/>
          <w:sz w:val="24"/>
          <w:szCs w:val="24"/>
        </w:rPr>
        <w:t>male in una situazione</w:t>
      </w:r>
      <w:r w:rsidR="00D46CC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che oppone</w:t>
      </w:r>
      <w:r w:rsidR="00D46CC4">
        <w:rPr>
          <w:rFonts w:ascii="Garamond" w:hAnsi="Garamond"/>
          <w:sz w:val="24"/>
          <w:szCs w:val="24"/>
        </w:rPr>
        <w:t xml:space="preserve"> dominanti </w:t>
      </w:r>
      <w:proofErr w:type="gramStart"/>
      <w:r>
        <w:rPr>
          <w:rFonts w:ascii="Garamond" w:hAnsi="Garamond"/>
          <w:sz w:val="24"/>
          <w:szCs w:val="24"/>
        </w:rPr>
        <w:t>a</w:t>
      </w:r>
      <w:proofErr w:type="gramEnd"/>
      <w:r w:rsidR="00D46CC4">
        <w:rPr>
          <w:rFonts w:ascii="Garamond" w:hAnsi="Garamond"/>
          <w:sz w:val="24"/>
          <w:szCs w:val="24"/>
        </w:rPr>
        <w:t xml:space="preserve"> dominati</w:t>
      </w:r>
      <w:r>
        <w:rPr>
          <w:rFonts w:ascii="Garamond" w:hAnsi="Garamond"/>
          <w:sz w:val="24"/>
          <w:szCs w:val="24"/>
        </w:rPr>
        <w:t>, non già al male metafisico, al male ontologico, o al male morale</w:t>
      </w:r>
      <w:r w:rsidR="00D46CC4">
        <w:rPr>
          <w:rFonts w:ascii="Garamond" w:hAnsi="Garamond"/>
          <w:sz w:val="24"/>
          <w:szCs w:val="24"/>
        </w:rPr>
        <w:t xml:space="preserve">. </w:t>
      </w:r>
      <w:r w:rsidR="00C437AC">
        <w:rPr>
          <w:rFonts w:ascii="Garamond" w:hAnsi="Garamond"/>
          <w:sz w:val="24"/>
          <w:szCs w:val="24"/>
        </w:rPr>
        <w:t>La docente</w:t>
      </w:r>
      <w:r w:rsidR="007925F1">
        <w:rPr>
          <w:rFonts w:ascii="Garamond" w:hAnsi="Garamond"/>
          <w:sz w:val="24"/>
          <w:szCs w:val="24"/>
        </w:rPr>
        <w:t xml:space="preserve"> stabilisce cioè</w:t>
      </w:r>
      <w:r w:rsidR="00C437AC">
        <w:rPr>
          <w:rFonts w:ascii="Garamond" w:hAnsi="Garamond"/>
          <w:sz w:val="24"/>
          <w:szCs w:val="24"/>
        </w:rPr>
        <w:t xml:space="preserve"> implicitamente</w:t>
      </w:r>
      <w:r>
        <w:rPr>
          <w:rFonts w:ascii="Garamond" w:hAnsi="Garamond"/>
          <w:sz w:val="24"/>
          <w:szCs w:val="24"/>
        </w:rPr>
        <w:t xml:space="preserve"> una </w:t>
      </w:r>
      <w:r w:rsidR="007925F1">
        <w:rPr>
          <w:rFonts w:ascii="Garamond" w:hAnsi="Garamond"/>
          <w:sz w:val="24"/>
          <w:szCs w:val="24"/>
        </w:rPr>
        <w:t xml:space="preserve">sorta di </w:t>
      </w:r>
      <w:r>
        <w:rPr>
          <w:rFonts w:ascii="Garamond" w:hAnsi="Garamond"/>
          <w:sz w:val="24"/>
          <w:szCs w:val="24"/>
        </w:rPr>
        <w:t>coincidenza fra il male e il dominio. Come a dire che il dominio è intrinsecamente cattivo</w:t>
      </w:r>
      <w:r w:rsidR="007925F1">
        <w:rPr>
          <w:rFonts w:ascii="Garamond" w:hAnsi="Garamond"/>
          <w:sz w:val="24"/>
          <w:szCs w:val="24"/>
        </w:rPr>
        <w:t>, oppure</w:t>
      </w:r>
      <w:r w:rsidR="00C437AC">
        <w:rPr>
          <w:rFonts w:ascii="Garamond" w:hAnsi="Garamond"/>
          <w:sz w:val="24"/>
          <w:szCs w:val="24"/>
        </w:rPr>
        <w:t>, per rispondere alla domanda che dà il titolo alla lezione,</w:t>
      </w:r>
      <w:r w:rsidR="007925F1">
        <w:rPr>
          <w:rFonts w:ascii="Garamond" w:hAnsi="Garamond"/>
          <w:sz w:val="24"/>
          <w:szCs w:val="24"/>
        </w:rPr>
        <w:t xml:space="preserve"> che è </w:t>
      </w:r>
      <w:r w:rsidR="00C45177">
        <w:rPr>
          <w:rFonts w:ascii="Garamond" w:hAnsi="Garamond"/>
          <w:sz w:val="24"/>
          <w:szCs w:val="24"/>
        </w:rPr>
        <w:t>specialmente in esso</w:t>
      </w:r>
      <w:r w:rsidR="007925F1">
        <w:rPr>
          <w:rFonts w:ascii="Garamond" w:hAnsi="Garamond"/>
          <w:sz w:val="24"/>
          <w:szCs w:val="24"/>
        </w:rPr>
        <w:t xml:space="preserve"> che dobbiamo </w:t>
      </w:r>
      <w:r w:rsidR="00C45177">
        <w:rPr>
          <w:rFonts w:ascii="Garamond" w:hAnsi="Garamond"/>
          <w:sz w:val="24"/>
          <w:szCs w:val="24"/>
        </w:rPr>
        <w:t>cercare</w:t>
      </w:r>
      <w:r w:rsidR="00D95A66">
        <w:rPr>
          <w:rFonts w:ascii="Garamond" w:hAnsi="Garamond"/>
          <w:sz w:val="24"/>
          <w:szCs w:val="24"/>
        </w:rPr>
        <w:t xml:space="preserve"> il male oggi, </w:t>
      </w:r>
      <w:r w:rsidR="007925F1">
        <w:rPr>
          <w:rFonts w:ascii="Garamond" w:hAnsi="Garamond"/>
          <w:sz w:val="24"/>
          <w:szCs w:val="24"/>
        </w:rPr>
        <w:t>che è nel dominio politico che va cercato il senso attuale del male</w:t>
      </w:r>
      <w:r>
        <w:rPr>
          <w:rFonts w:ascii="Garamond" w:hAnsi="Garamond"/>
          <w:sz w:val="24"/>
          <w:szCs w:val="24"/>
        </w:rPr>
        <w:t>.</w:t>
      </w:r>
      <w:r w:rsidR="007925F1">
        <w:rPr>
          <w:rFonts w:ascii="Garamond" w:hAnsi="Garamond"/>
          <w:sz w:val="24"/>
          <w:szCs w:val="24"/>
        </w:rPr>
        <w:t xml:space="preserve"> </w:t>
      </w:r>
    </w:p>
    <w:p w:rsidR="001D6D88" w:rsidRPr="001D6D88" w:rsidRDefault="001D6D88" w:rsidP="001D6D8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Garamond" w:hAnsi="Garamond"/>
          <w:i/>
          <w:sz w:val="24"/>
          <w:szCs w:val="24"/>
        </w:rPr>
      </w:pPr>
      <w:r w:rsidRPr="001D6D88">
        <w:rPr>
          <w:rFonts w:ascii="Garamond" w:hAnsi="Garamond"/>
          <w:i/>
          <w:sz w:val="24"/>
          <w:szCs w:val="24"/>
        </w:rPr>
        <w:t>Note sulla</w:t>
      </w:r>
      <w:r w:rsidR="00EE49AF">
        <w:rPr>
          <w:rFonts w:ascii="Garamond" w:hAnsi="Garamond"/>
          <w:i/>
          <w:sz w:val="24"/>
          <w:szCs w:val="24"/>
        </w:rPr>
        <w:t xml:space="preserve"> </w:t>
      </w:r>
      <w:proofErr w:type="gramStart"/>
      <w:r w:rsidRPr="001D6D88">
        <w:rPr>
          <w:rFonts w:ascii="Garamond" w:hAnsi="Garamond"/>
          <w:i/>
          <w:sz w:val="24"/>
          <w:szCs w:val="24"/>
        </w:rPr>
        <w:t>«</w:t>
      </w:r>
      <w:proofErr w:type="spellStart"/>
      <w:proofErr w:type="gramEnd"/>
      <w:r w:rsidRPr="001D6D88">
        <w:rPr>
          <w:rFonts w:ascii="Garamond" w:hAnsi="Garamond"/>
          <w:i/>
          <w:sz w:val="24"/>
          <w:szCs w:val="24"/>
        </w:rPr>
        <w:t>desoggettivazione</w:t>
      </w:r>
      <w:proofErr w:type="spellEnd"/>
      <w:r w:rsidRPr="001D6D88">
        <w:rPr>
          <w:rFonts w:ascii="Garamond" w:hAnsi="Garamond"/>
          <w:i/>
          <w:sz w:val="24"/>
          <w:szCs w:val="24"/>
        </w:rPr>
        <w:t>»</w:t>
      </w:r>
    </w:p>
    <w:p w:rsidR="00D95A66" w:rsidRDefault="001B185D" w:rsidP="00C437AC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Vorrei</w:t>
      </w:r>
      <w:r w:rsidR="0024757B">
        <w:rPr>
          <w:rFonts w:ascii="Garamond" w:hAnsi="Garamond"/>
          <w:sz w:val="24"/>
          <w:szCs w:val="24"/>
        </w:rPr>
        <w:t xml:space="preserve"> ora </w:t>
      </w:r>
      <w:proofErr w:type="gramStart"/>
      <w:r w:rsidR="00E247C7">
        <w:rPr>
          <w:rFonts w:ascii="Garamond" w:hAnsi="Garamond"/>
          <w:sz w:val="24"/>
          <w:szCs w:val="24"/>
        </w:rPr>
        <w:t>concludere</w:t>
      </w:r>
      <w:proofErr w:type="gramEnd"/>
      <w:r w:rsidR="00E247C7">
        <w:rPr>
          <w:rFonts w:ascii="Garamond" w:hAnsi="Garamond"/>
          <w:sz w:val="24"/>
          <w:szCs w:val="24"/>
        </w:rPr>
        <w:t xml:space="preserve"> con</w:t>
      </w:r>
      <w:r w:rsidR="0024757B">
        <w:rPr>
          <w:rFonts w:ascii="Garamond" w:hAnsi="Garamond"/>
          <w:sz w:val="24"/>
          <w:szCs w:val="24"/>
        </w:rPr>
        <w:t xml:space="preserve"> una piccola riflessione</w:t>
      </w:r>
      <w:r>
        <w:rPr>
          <w:rFonts w:ascii="Garamond" w:hAnsi="Garamond"/>
          <w:sz w:val="24"/>
          <w:szCs w:val="24"/>
        </w:rPr>
        <w:t xml:space="preserve"> ispirata dalla ricorrenza</w:t>
      </w:r>
      <w:r w:rsidR="00D95A66" w:rsidRPr="00D95A66">
        <w:rPr>
          <w:rFonts w:ascii="Garamond" w:hAnsi="Garamond"/>
          <w:sz w:val="24"/>
          <w:szCs w:val="24"/>
        </w:rPr>
        <w:t xml:space="preserve"> del</w:t>
      </w:r>
      <w:r w:rsidR="008846E3">
        <w:rPr>
          <w:rFonts w:ascii="Garamond" w:hAnsi="Garamond"/>
          <w:sz w:val="24"/>
          <w:szCs w:val="24"/>
        </w:rPr>
        <w:t xml:space="preserve"> termine «</w:t>
      </w:r>
      <w:proofErr w:type="spellStart"/>
      <w:r w:rsidR="008846E3">
        <w:rPr>
          <w:rFonts w:ascii="Garamond" w:hAnsi="Garamond"/>
          <w:sz w:val="24"/>
          <w:szCs w:val="24"/>
        </w:rPr>
        <w:t>desoggettivazione</w:t>
      </w:r>
      <w:proofErr w:type="spellEnd"/>
      <w:r w:rsidR="008846E3">
        <w:rPr>
          <w:rFonts w:ascii="Garamond" w:hAnsi="Garamond"/>
          <w:sz w:val="24"/>
          <w:szCs w:val="24"/>
        </w:rPr>
        <w:t xml:space="preserve">» </w:t>
      </w:r>
      <w:r w:rsidR="008846E3" w:rsidRPr="00D95A66">
        <w:rPr>
          <w:rFonts w:ascii="Garamond" w:hAnsi="Garamond"/>
          <w:sz w:val="24"/>
          <w:szCs w:val="24"/>
        </w:rPr>
        <w:t>nel lessico utilizzato da Forti</w:t>
      </w:r>
      <w:r w:rsidR="00C437AC">
        <w:rPr>
          <w:rFonts w:ascii="Garamond" w:hAnsi="Garamond"/>
          <w:sz w:val="24"/>
          <w:szCs w:val="24"/>
        </w:rPr>
        <w:t xml:space="preserve">, che ha attirato la mia attenzione </w:t>
      </w:r>
      <w:r w:rsidR="00E247C7">
        <w:rPr>
          <w:rFonts w:ascii="Garamond" w:hAnsi="Garamond"/>
          <w:sz w:val="24"/>
          <w:szCs w:val="24"/>
        </w:rPr>
        <w:t>ricordandomi</w:t>
      </w:r>
      <w:r w:rsidR="00C437AC">
        <w:rPr>
          <w:rFonts w:ascii="Garamond" w:hAnsi="Garamond"/>
          <w:sz w:val="24"/>
          <w:szCs w:val="24"/>
        </w:rPr>
        <w:t xml:space="preserve"> un altro termine, «</w:t>
      </w:r>
      <w:proofErr w:type="spellStart"/>
      <w:r w:rsidR="00C437AC">
        <w:rPr>
          <w:rFonts w:ascii="Garamond" w:hAnsi="Garamond"/>
          <w:sz w:val="24"/>
          <w:szCs w:val="24"/>
        </w:rPr>
        <w:t>deindividuazione</w:t>
      </w:r>
      <w:proofErr w:type="spellEnd"/>
      <w:r w:rsidR="00C437AC">
        <w:rPr>
          <w:rFonts w:ascii="Garamond" w:hAnsi="Garamond"/>
          <w:sz w:val="24"/>
          <w:szCs w:val="24"/>
        </w:rPr>
        <w:t>»</w:t>
      </w:r>
      <w:r w:rsidR="00E247C7">
        <w:rPr>
          <w:rFonts w:ascii="Garamond" w:hAnsi="Garamond"/>
          <w:sz w:val="24"/>
          <w:szCs w:val="24"/>
        </w:rPr>
        <w:t>, associato a un famoso esperimento di psicologia sociale</w:t>
      </w:r>
      <w:r w:rsidR="00D95A66" w:rsidRPr="00D95A66">
        <w:rPr>
          <w:rFonts w:ascii="Garamond" w:hAnsi="Garamond"/>
          <w:sz w:val="24"/>
          <w:szCs w:val="24"/>
        </w:rPr>
        <w:t xml:space="preserve">. Come accennato, </w:t>
      </w:r>
      <w:r w:rsidR="00BA2F5C">
        <w:rPr>
          <w:rFonts w:ascii="Garamond" w:hAnsi="Garamond"/>
          <w:sz w:val="24"/>
          <w:szCs w:val="24"/>
        </w:rPr>
        <w:t>vi sono ragioni per credere</w:t>
      </w:r>
      <w:r w:rsidR="00D95A66" w:rsidRPr="00D95A66">
        <w:rPr>
          <w:rFonts w:ascii="Garamond" w:hAnsi="Garamond"/>
          <w:sz w:val="24"/>
          <w:szCs w:val="24"/>
        </w:rPr>
        <w:t xml:space="preserve"> che il male abbia a che fare in modo sostanziale con un venir meno dell’individua</w:t>
      </w:r>
      <w:r w:rsidR="00E247C7">
        <w:rPr>
          <w:rFonts w:ascii="Garamond" w:hAnsi="Garamond"/>
          <w:sz w:val="24"/>
          <w:szCs w:val="24"/>
        </w:rPr>
        <w:t>zione</w:t>
      </w:r>
      <w:r w:rsidR="00D95A66" w:rsidRPr="00D95A66">
        <w:rPr>
          <w:rFonts w:ascii="Garamond" w:hAnsi="Garamond"/>
          <w:sz w:val="24"/>
          <w:szCs w:val="24"/>
        </w:rPr>
        <w:t>, con una diluizione dei confini dell’</w:t>
      </w:r>
      <w:proofErr w:type="gramStart"/>
      <w:r w:rsidR="00D95A66" w:rsidRPr="00D95A66">
        <w:rPr>
          <w:rFonts w:ascii="Garamond" w:hAnsi="Garamond"/>
          <w:sz w:val="24"/>
          <w:szCs w:val="24"/>
        </w:rPr>
        <w:t>io</w:t>
      </w:r>
      <w:proofErr w:type="gramEnd"/>
      <w:r w:rsidR="00D95A66" w:rsidRPr="00D95A66">
        <w:rPr>
          <w:rFonts w:ascii="Garamond" w:hAnsi="Garamond"/>
          <w:sz w:val="24"/>
          <w:szCs w:val="24"/>
        </w:rPr>
        <w:t xml:space="preserve"> nella forma gruppo, non solo dal lato della vittima –</w:t>
      </w:r>
      <w:r w:rsidR="008846E3">
        <w:rPr>
          <w:rFonts w:ascii="Garamond" w:hAnsi="Garamond"/>
          <w:sz w:val="24"/>
          <w:szCs w:val="24"/>
        </w:rPr>
        <w:t xml:space="preserve"> </w:t>
      </w:r>
      <w:r w:rsidR="00201622">
        <w:rPr>
          <w:rFonts w:ascii="Garamond" w:hAnsi="Garamond"/>
          <w:sz w:val="24"/>
          <w:szCs w:val="24"/>
        </w:rPr>
        <w:t xml:space="preserve">che è il lato </w:t>
      </w:r>
      <w:r w:rsidR="00D95A66" w:rsidRPr="00D95A66">
        <w:rPr>
          <w:rFonts w:ascii="Garamond" w:hAnsi="Garamond"/>
          <w:sz w:val="24"/>
          <w:szCs w:val="24"/>
        </w:rPr>
        <w:t xml:space="preserve">maggiormente tematizzato </w:t>
      </w:r>
      <w:r w:rsidR="008846E3">
        <w:rPr>
          <w:rFonts w:ascii="Garamond" w:hAnsi="Garamond"/>
          <w:sz w:val="24"/>
          <w:szCs w:val="24"/>
        </w:rPr>
        <w:t>da</w:t>
      </w:r>
      <w:r w:rsidR="00D95A66" w:rsidRPr="00D95A66">
        <w:rPr>
          <w:rFonts w:ascii="Garamond" w:hAnsi="Garamond"/>
          <w:sz w:val="24"/>
          <w:szCs w:val="24"/>
        </w:rPr>
        <w:t xml:space="preserve"> Forti –, ma anche dal lato del carnefice</w:t>
      </w:r>
      <w:r w:rsidR="008846E3">
        <w:rPr>
          <w:rFonts w:ascii="Garamond" w:hAnsi="Garamond"/>
          <w:sz w:val="24"/>
          <w:szCs w:val="24"/>
        </w:rPr>
        <w:t xml:space="preserve">, posto l’invito </w:t>
      </w:r>
      <w:r w:rsidR="00D95A66" w:rsidRPr="00D95A66">
        <w:rPr>
          <w:rFonts w:ascii="Garamond" w:hAnsi="Garamond"/>
          <w:sz w:val="24"/>
          <w:szCs w:val="24"/>
        </w:rPr>
        <w:t xml:space="preserve">a superare tale schema rigidamente dualistico. Sembra </w:t>
      </w:r>
      <w:r w:rsidR="008846E3">
        <w:rPr>
          <w:rFonts w:ascii="Garamond" w:hAnsi="Garamond"/>
          <w:sz w:val="24"/>
          <w:szCs w:val="24"/>
        </w:rPr>
        <w:t xml:space="preserve">cioè </w:t>
      </w:r>
      <w:r w:rsidR="00D95A66" w:rsidRPr="00D95A66">
        <w:rPr>
          <w:rFonts w:ascii="Garamond" w:hAnsi="Garamond"/>
          <w:sz w:val="24"/>
          <w:szCs w:val="24"/>
        </w:rPr>
        <w:t xml:space="preserve">che l’io venga meno non solo a causa del male subìto, ma anche come processo che presiede alla sua attuazione. </w:t>
      </w:r>
    </w:p>
    <w:p w:rsidR="008846E3" w:rsidRDefault="00E06B27" w:rsidP="00D95A66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Una situazione molto discussa in psicologia sociale</w:t>
      </w:r>
      <w:r w:rsidR="00201622">
        <w:rPr>
          <w:rFonts w:ascii="Garamond" w:hAnsi="Garamond"/>
          <w:sz w:val="24"/>
          <w:szCs w:val="24"/>
        </w:rPr>
        <w:t xml:space="preserve"> che sembrerebbe corroborare tale tesi</w:t>
      </w:r>
      <w:r>
        <w:rPr>
          <w:rFonts w:ascii="Garamond" w:hAnsi="Garamond"/>
          <w:sz w:val="24"/>
          <w:szCs w:val="24"/>
        </w:rPr>
        <w:t xml:space="preserve">, </w:t>
      </w:r>
      <w:r w:rsidR="00C437AC">
        <w:rPr>
          <w:rFonts w:ascii="Garamond" w:hAnsi="Garamond"/>
          <w:sz w:val="24"/>
          <w:szCs w:val="24"/>
        </w:rPr>
        <w:t>appunto evocata dal termine «</w:t>
      </w:r>
      <w:proofErr w:type="spellStart"/>
      <w:r w:rsidR="00C437AC">
        <w:rPr>
          <w:rFonts w:ascii="Garamond" w:hAnsi="Garamond"/>
          <w:sz w:val="24"/>
          <w:szCs w:val="24"/>
        </w:rPr>
        <w:t>desoggettivazione</w:t>
      </w:r>
      <w:proofErr w:type="spellEnd"/>
      <w:r w:rsidR="00C437AC">
        <w:rPr>
          <w:rFonts w:ascii="Garamond" w:hAnsi="Garamond"/>
          <w:sz w:val="24"/>
          <w:szCs w:val="24"/>
        </w:rPr>
        <w:t>»,</w:t>
      </w:r>
      <w:r>
        <w:rPr>
          <w:rFonts w:ascii="Garamond" w:hAnsi="Garamond"/>
          <w:sz w:val="24"/>
          <w:szCs w:val="24"/>
        </w:rPr>
        <w:t xml:space="preserve"> potrebbe essere </w:t>
      </w:r>
      <w:r w:rsidR="008846E3">
        <w:rPr>
          <w:rFonts w:ascii="Garamond" w:hAnsi="Garamond"/>
          <w:sz w:val="24"/>
          <w:szCs w:val="24"/>
        </w:rPr>
        <w:t xml:space="preserve">in tal senso </w:t>
      </w:r>
      <w:r>
        <w:rPr>
          <w:rFonts w:ascii="Garamond" w:hAnsi="Garamond"/>
          <w:sz w:val="24"/>
          <w:szCs w:val="24"/>
        </w:rPr>
        <w:t>il famoso esperi</w:t>
      </w:r>
      <w:r w:rsidR="00805395">
        <w:rPr>
          <w:rFonts w:ascii="Garamond" w:hAnsi="Garamond"/>
          <w:sz w:val="24"/>
          <w:szCs w:val="24"/>
        </w:rPr>
        <w:t xml:space="preserve">mento </w:t>
      </w:r>
      <w:r w:rsidR="000F61C6">
        <w:rPr>
          <w:rFonts w:ascii="Garamond" w:hAnsi="Garamond"/>
          <w:sz w:val="24"/>
          <w:szCs w:val="24"/>
        </w:rPr>
        <w:t>della prigione</w:t>
      </w:r>
      <w:r w:rsidR="00805395">
        <w:rPr>
          <w:rFonts w:ascii="Garamond" w:hAnsi="Garamond"/>
          <w:sz w:val="24"/>
          <w:szCs w:val="24"/>
        </w:rPr>
        <w:t xml:space="preserve"> di Stanford ideato</w:t>
      </w:r>
      <w:r w:rsidR="00D969DD">
        <w:rPr>
          <w:rFonts w:ascii="Garamond" w:hAnsi="Garamond"/>
          <w:sz w:val="24"/>
          <w:szCs w:val="24"/>
        </w:rPr>
        <w:t xml:space="preserve"> nel 1971</w:t>
      </w:r>
      <w:r w:rsidR="00805395">
        <w:rPr>
          <w:rFonts w:ascii="Garamond" w:hAnsi="Garamond"/>
          <w:sz w:val="24"/>
          <w:szCs w:val="24"/>
        </w:rPr>
        <w:t xml:space="preserve"> da Philip </w:t>
      </w:r>
      <w:proofErr w:type="spellStart"/>
      <w:r w:rsidR="00805395">
        <w:rPr>
          <w:rFonts w:ascii="Garamond" w:hAnsi="Garamond"/>
          <w:sz w:val="24"/>
          <w:szCs w:val="24"/>
        </w:rPr>
        <w:t>Zimbardo</w:t>
      </w:r>
      <w:proofErr w:type="spellEnd"/>
      <w:proofErr w:type="gramStart"/>
      <w:r w:rsidR="003739DD">
        <w:rPr>
          <w:rStyle w:val="FootnoteReference"/>
          <w:rFonts w:ascii="Garamond" w:hAnsi="Garamond"/>
          <w:sz w:val="24"/>
          <w:szCs w:val="24"/>
        </w:rPr>
        <w:footnoteReference w:id="8"/>
      </w:r>
      <w:r w:rsidR="00201622">
        <w:rPr>
          <w:rFonts w:ascii="Garamond" w:hAnsi="Garamond"/>
          <w:sz w:val="24"/>
          <w:szCs w:val="24"/>
        </w:rPr>
        <w:t>.</w:t>
      </w:r>
      <w:proofErr w:type="gramEnd"/>
      <w:r w:rsidR="00201622">
        <w:rPr>
          <w:rFonts w:ascii="Garamond" w:hAnsi="Garamond"/>
          <w:sz w:val="24"/>
          <w:szCs w:val="24"/>
        </w:rPr>
        <w:t xml:space="preserve"> Com’è noto, l’esperimento opponeva persone con il ruolo di guardie a persone con il ruolo di prigionieri all’interno di una prigione simulata, il</w:t>
      </w:r>
      <w:r w:rsidR="00C437AC">
        <w:rPr>
          <w:rFonts w:ascii="Garamond" w:hAnsi="Garamond"/>
          <w:sz w:val="24"/>
          <w:szCs w:val="24"/>
        </w:rPr>
        <w:t xml:space="preserve"> cui esito è stato sorprendente,</w:t>
      </w:r>
      <w:r w:rsidR="00201622">
        <w:rPr>
          <w:rFonts w:ascii="Garamond" w:hAnsi="Garamond"/>
          <w:sz w:val="24"/>
          <w:szCs w:val="24"/>
        </w:rPr>
        <w:t xml:space="preserve"> costringendo a porvi fine con molto anticipo rispetto al previsto, </w:t>
      </w:r>
      <w:proofErr w:type="gramStart"/>
      <w:r w:rsidR="00201622">
        <w:rPr>
          <w:rFonts w:ascii="Garamond" w:hAnsi="Garamond"/>
          <w:sz w:val="24"/>
          <w:szCs w:val="24"/>
        </w:rPr>
        <w:t>in quanto</w:t>
      </w:r>
      <w:proofErr w:type="gramEnd"/>
      <w:r w:rsidR="00201622">
        <w:rPr>
          <w:rFonts w:ascii="Garamond" w:hAnsi="Garamond"/>
          <w:sz w:val="24"/>
          <w:szCs w:val="24"/>
        </w:rPr>
        <w:t xml:space="preserve"> </w:t>
      </w:r>
      <w:r w:rsidR="00C45177">
        <w:rPr>
          <w:rFonts w:ascii="Garamond" w:hAnsi="Garamond"/>
          <w:sz w:val="24"/>
          <w:szCs w:val="24"/>
        </w:rPr>
        <w:t>le guardie hanno dato luogo a comportamenti</w:t>
      </w:r>
      <w:r w:rsidR="007F3F5F">
        <w:rPr>
          <w:rFonts w:ascii="Garamond" w:hAnsi="Garamond"/>
          <w:sz w:val="24"/>
          <w:szCs w:val="24"/>
        </w:rPr>
        <w:t xml:space="preserve"> violenti</w:t>
      </w:r>
      <w:r w:rsidR="00201622">
        <w:rPr>
          <w:rFonts w:ascii="Garamond" w:hAnsi="Garamond"/>
          <w:sz w:val="24"/>
          <w:szCs w:val="24"/>
        </w:rPr>
        <w:t xml:space="preserve"> particolarmente</w:t>
      </w:r>
      <w:r w:rsidR="00C45177">
        <w:rPr>
          <w:rFonts w:ascii="Garamond" w:hAnsi="Garamond"/>
          <w:sz w:val="24"/>
          <w:szCs w:val="24"/>
        </w:rPr>
        <w:t xml:space="preserve"> lesivi</w:t>
      </w:r>
      <w:r w:rsidR="00201622">
        <w:rPr>
          <w:rFonts w:ascii="Garamond" w:hAnsi="Garamond"/>
          <w:sz w:val="24"/>
          <w:szCs w:val="24"/>
        </w:rPr>
        <w:t xml:space="preserve"> e stressanti per </w:t>
      </w:r>
      <w:r w:rsidR="00C45177">
        <w:rPr>
          <w:rFonts w:ascii="Garamond" w:hAnsi="Garamond"/>
          <w:sz w:val="24"/>
          <w:szCs w:val="24"/>
        </w:rPr>
        <w:t>i prigionieri</w:t>
      </w:r>
      <w:r w:rsidR="00C437AC">
        <w:rPr>
          <w:rFonts w:ascii="Garamond" w:hAnsi="Garamond"/>
          <w:sz w:val="24"/>
          <w:szCs w:val="24"/>
        </w:rPr>
        <w:t xml:space="preserve">. </w:t>
      </w:r>
      <w:proofErr w:type="gramStart"/>
      <w:r w:rsidR="00C437AC">
        <w:rPr>
          <w:rFonts w:ascii="Garamond" w:hAnsi="Garamond"/>
          <w:sz w:val="24"/>
          <w:szCs w:val="24"/>
        </w:rPr>
        <w:t>T</w:t>
      </w:r>
      <w:r w:rsidR="0002028A">
        <w:rPr>
          <w:rFonts w:ascii="Garamond" w:hAnsi="Garamond"/>
          <w:sz w:val="24"/>
          <w:szCs w:val="24"/>
        </w:rPr>
        <w:t>ale</w:t>
      </w:r>
      <w:proofErr w:type="gramEnd"/>
      <w:r w:rsidR="0002028A">
        <w:rPr>
          <w:rFonts w:ascii="Garamond" w:hAnsi="Garamond"/>
          <w:sz w:val="24"/>
          <w:szCs w:val="24"/>
        </w:rPr>
        <w:t xml:space="preserve"> esperimento torna spesso come paradigma di lettura anche per</w:t>
      </w:r>
      <w:r w:rsidR="00A6283D">
        <w:rPr>
          <w:rFonts w:ascii="Garamond" w:hAnsi="Garamond"/>
          <w:sz w:val="24"/>
          <w:szCs w:val="24"/>
        </w:rPr>
        <w:t xml:space="preserve"> fenomeni più attuali in cui dei gruppi dotati di autorità hanno </w:t>
      </w:r>
      <w:r w:rsidR="00201622">
        <w:rPr>
          <w:rFonts w:ascii="Garamond" w:hAnsi="Garamond"/>
          <w:sz w:val="24"/>
          <w:szCs w:val="24"/>
        </w:rPr>
        <w:t>realizzato</w:t>
      </w:r>
      <w:r w:rsidR="007F3F5F">
        <w:rPr>
          <w:rFonts w:ascii="Garamond" w:hAnsi="Garamond"/>
          <w:sz w:val="24"/>
          <w:szCs w:val="24"/>
        </w:rPr>
        <w:t xml:space="preserve"> odiose carneficine (</w:t>
      </w:r>
      <w:r w:rsidR="00A6283D">
        <w:rPr>
          <w:rFonts w:ascii="Garamond" w:hAnsi="Garamond"/>
          <w:sz w:val="24"/>
          <w:szCs w:val="24"/>
        </w:rPr>
        <w:t xml:space="preserve">le carceri di Abu </w:t>
      </w:r>
      <w:proofErr w:type="spellStart"/>
      <w:r w:rsidR="00A6283D">
        <w:rPr>
          <w:rFonts w:ascii="Garamond" w:hAnsi="Garamond"/>
          <w:sz w:val="24"/>
          <w:szCs w:val="24"/>
        </w:rPr>
        <w:t>Ghraib</w:t>
      </w:r>
      <w:proofErr w:type="spellEnd"/>
      <w:r w:rsidR="00A6283D">
        <w:rPr>
          <w:rFonts w:ascii="Garamond" w:hAnsi="Garamond"/>
          <w:sz w:val="24"/>
          <w:szCs w:val="24"/>
        </w:rPr>
        <w:t xml:space="preserve">, la notte della Diaz a Genova, </w:t>
      </w:r>
      <w:r w:rsidR="007F3F5F">
        <w:rPr>
          <w:rFonts w:ascii="Garamond" w:hAnsi="Garamond"/>
          <w:sz w:val="24"/>
          <w:szCs w:val="24"/>
        </w:rPr>
        <w:t>ecc.)</w:t>
      </w:r>
      <w:r w:rsidR="00A6283D">
        <w:rPr>
          <w:rFonts w:ascii="Garamond" w:hAnsi="Garamond"/>
          <w:sz w:val="24"/>
          <w:szCs w:val="24"/>
        </w:rPr>
        <w:t xml:space="preserve">. </w:t>
      </w:r>
      <w:r w:rsidR="008846E3">
        <w:rPr>
          <w:rFonts w:ascii="Garamond" w:hAnsi="Garamond"/>
          <w:sz w:val="24"/>
          <w:szCs w:val="24"/>
        </w:rPr>
        <w:t xml:space="preserve">Il nesso </w:t>
      </w:r>
      <w:r w:rsidR="007F3F5F">
        <w:rPr>
          <w:rFonts w:ascii="Garamond" w:hAnsi="Garamond"/>
          <w:sz w:val="24"/>
          <w:szCs w:val="24"/>
        </w:rPr>
        <w:t xml:space="preserve">dell’esperimento col termine utilizzato </w:t>
      </w:r>
      <w:proofErr w:type="gramStart"/>
      <w:r w:rsidR="007F3F5F">
        <w:rPr>
          <w:rFonts w:ascii="Garamond" w:hAnsi="Garamond"/>
          <w:sz w:val="24"/>
          <w:szCs w:val="24"/>
        </w:rPr>
        <w:t xml:space="preserve">dalla docente </w:t>
      </w:r>
      <w:r w:rsidR="00F456EA">
        <w:rPr>
          <w:rFonts w:ascii="Garamond" w:hAnsi="Garamond"/>
          <w:sz w:val="24"/>
          <w:szCs w:val="24"/>
        </w:rPr>
        <w:t>appare chiaro</w:t>
      </w:r>
      <w:proofErr w:type="gramEnd"/>
      <w:r w:rsidR="00F456EA">
        <w:rPr>
          <w:rFonts w:ascii="Garamond" w:hAnsi="Garamond"/>
          <w:sz w:val="24"/>
          <w:szCs w:val="24"/>
        </w:rPr>
        <w:t>, dal momento che</w:t>
      </w:r>
      <w:r w:rsidR="008846E3">
        <w:rPr>
          <w:rFonts w:ascii="Garamond" w:hAnsi="Garamond"/>
          <w:sz w:val="24"/>
          <w:szCs w:val="24"/>
        </w:rPr>
        <w:t xml:space="preserve"> a proposito di tale esperimento si è parlato di «</w:t>
      </w:r>
      <w:proofErr w:type="spellStart"/>
      <w:r w:rsidR="008846E3">
        <w:rPr>
          <w:rFonts w:ascii="Garamond" w:hAnsi="Garamond"/>
          <w:sz w:val="24"/>
          <w:szCs w:val="24"/>
        </w:rPr>
        <w:t>deindividuazione</w:t>
      </w:r>
      <w:proofErr w:type="spellEnd"/>
      <w:r w:rsidR="008846E3">
        <w:rPr>
          <w:rFonts w:ascii="Garamond" w:hAnsi="Garamond"/>
          <w:sz w:val="24"/>
          <w:szCs w:val="24"/>
        </w:rPr>
        <w:t>»</w:t>
      </w:r>
      <w:r w:rsidR="00F456EA">
        <w:rPr>
          <w:rFonts w:ascii="Garamond" w:hAnsi="Garamond"/>
          <w:sz w:val="24"/>
          <w:szCs w:val="24"/>
        </w:rPr>
        <w:t xml:space="preserve"> (</w:t>
      </w:r>
      <w:proofErr w:type="spellStart"/>
      <w:r w:rsidR="00F456EA">
        <w:rPr>
          <w:rFonts w:ascii="Garamond" w:hAnsi="Garamond"/>
          <w:sz w:val="24"/>
          <w:szCs w:val="24"/>
        </w:rPr>
        <w:t>Zimbardo</w:t>
      </w:r>
      <w:proofErr w:type="spellEnd"/>
      <w:r w:rsidR="00F456EA">
        <w:rPr>
          <w:rFonts w:ascii="Garamond" w:hAnsi="Garamond"/>
          <w:sz w:val="24"/>
          <w:szCs w:val="24"/>
        </w:rPr>
        <w:t xml:space="preserve"> si ispirò alla teoria della </w:t>
      </w:r>
      <w:proofErr w:type="spellStart"/>
      <w:r w:rsidR="00F456EA">
        <w:rPr>
          <w:rFonts w:ascii="Garamond" w:hAnsi="Garamond"/>
          <w:sz w:val="24"/>
          <w:szCs w:val="24"/>
        </w:rPr>
        <w:t>deindividuazione</w:t>
      </w:r>
      <w:proofErr w:type="spellEnd"/>
      <w:r w:rsidR="00F456EA">
        <w:rPr>
          <w:rFonts w:ascii="Garamond" w:hAnsi="Garamond"/>
          <w:sz w:val="24"/>
          <w:szCs w:val="24"/>
        </w:rPr>
        <w:t xml:space="preserve"> di Gustave Le Bon)</w:t>
      </w:r>
      <w:r w:rsidR="00BA2F5C">
        <w:rPr>
          <w:rFonts w:ascii="Garamond" w:hAnsi="Garamond"/>
          <w:sz w:val="24"/>
          <w:szCs w:val="24"/>
        </w:rPr>
        <w:t xml:space="preserve"> e, significativamente, </w:t>
      </w:r>
      <w:r w:rsidR="00D64A49">
        <w:rPr>
          <w:rFonts w:ascii="Garamond" w:hAnsi="Garamond"/>
          <w:sz w:val="24"/>
          <w:szCs w:val="24"/>
        </w:rPr>
        <w:t>di «effetto Lucifero».</w:t>
      </w:r>
    </w:p>
    <w:p w:rsidR="006F2E20" w:rsidRDefault="00A6283D" w:rsidP="00D95A66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L’elemento dell’autorità è particolarmente interessante perché </w:t>
      </w:r>
      <w:r w:rsidR="00C437AC">
        <w:rPr>
          <w:rFonts w:ascii="Garamond" w:hAnsi="Garamond"/>
          <w:sz w:val="24"/>
          <w:szCs w:val="24"/>
        </w:rPr>
        <w:t xml:space="preserve">esso </w:t>
      </w:r>
      <w:r>
        <w:rPr>
          <w:rFonts w:ascii="Garamond" w:hAnsi="Garamond"/>
          <w:sz w:val="24"/>
          <w:szCs w:val="24"/>
        </w:rPr>
        <w:t>sembra rappresentare una fonte di legittimazione</w:t>
      </w:r>
      <w:r w:rsidR="00D969DD">
        <w:rPr>
          <w:rFonts w:ascii="Garamond" w:hAnsi="Garamond"/>
          <w:sz w:val="24"/>
          <w:szCs w:val="24"/>
        </w:rPr>
        <w:t xml:space="preserve"> morale</w:t>
      </w:r>
      <w:r>
        <w:rPr>
          <w:rFonts w:ascii="Garamond" w:hAnsi="Garamond"/>
          <w:sz w:val="24"/>
          <w:szCs w:val="24"/>
        </w:rPr>
        <w:t xml:space="preserve"> i cui limiti sono </w:t>
      </w:r>
      <w:r w:rsidR="007B1286">
        <w:rPr>
          <w:rFonts w:ascii="Garamond" w:hAnsi="Garamond"/>
          <w:sz w:val="24"/>
          <w:szCs w:val="24"/>
        </w:rPr>
        <w:t xml:space="preserve">indefinitamente </w:t>
      </w:r>
      <w:r>
        <w:rPr>
          <w:rFonts w:ascii="Garamond" w:hAnsi="Garamond"/>
          <w:sz w:val="24"/>
          <w:szCs w:val="24"/>
        </w:rPr>
        <w:t>suscettibili di estensione. La legittimazione procurata da un distintivo sembra cioè funzionare come</w:t>
      </w:r>
      <w:r w:rsidR="00C437AC">
        <w:rPr>
          <w:rFonts w:ascii="Garamond" w:hAnsi="Garamond"/>
          <w:sz w:val="24"/>
          <w:szCs w:val="24"/>
        </w:rPr>
        <w:t xml:space="preserve"> potente</w:t>
      </w:r>
      <w:r>
        <w:rPr>
          <w:rFonts w:ascii="Garamond" w:hAnsi="Garamond"/>
          <w:sz w:val="24"/>
          <w:szCs w:val="24"/>
        </w:rPr>
        <w:t xml:space="preserve"> delega</w:t>
      </w:r>
      <w:r w:rsidR="00BA2F5C">
        <w:rPr>
          <w:rFonts w:ascii="Garamond" w:hAnsi="Garamond"/>
          <w:sz w:val="24"/>
          <w:szCs w:val="24"/>
        </w:rPr>
        <w:t>, dall’individuo all’autorità,</w:t>
      </w:r>
      <w:r>
        <w:rPr>
          <w:rFonts w:ascii="Garamond" w:hAnsi="Garamond"/>
          <w:sz w:val="24"/>
          <w:szCs w:val="24"/>
        </w:rPr>
        <w:t xml:space="preserve"> della responsabilità di deci</w:t>
      </w:r>
      <w:r w:rsidR="00BA2F5C">
        <w:rPr>
          <w:rFonts w:ascii="Garamond" w:hAnsi="Garamond"/>
          <w:sz w:val="24"/>
          <w:szCs w:val="24"/>
        </w:rPr>
        <w:t>sione</w:t>
      </w:r>
      <w:r>
        <w:rPr>
          <w:rFonts w:ascii="Garamond" w:hAnsi="Garamond"/>
          <w:sz w:val="24"/>
          <w:szCs w:val="24"/>
        </w:rPr>
        <w:t xml:space="preserve"> sulla bontà delle azioni, </w:t>
      </w:r>
      <w:proofErr w:type="gramStart"/>
      <w:r w:rsidR="00E247C7">
        <w:rPr>
          <w:rFonts w:ascii="Garamond" w:hAnsi="Garamond"/>
          <w:sz w:val="24"/>
          <w:szCs w:val="24"/>
        </w:rPr>
        <w:t>ovvero</w:t>
      </w:r>
      <w:proofErr w:type="gramEnd"/>
      <w:r w:rsidR="00E247C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come </w:t>
      </w:r>
      <w:r w:rsidR="00BA2F5C">
        <w:rPr>
          <w:rFonts w:ascii="Garamond" w:hAnsi="Garamond"/>
          <w:sz w:val="24"/>
          <w:szCs w:val="24"/>
        </w:rPr>
        <w:t xml:space="preserve">occasione </w:t>
      </w:r>
      <w:r>
        <w:rPr>
          <w:rFonts w:ascii="Garamond" w:hAnsi="Garamond"/>
          <w:sz w:val="24"/>
          <w:szCs w:val="24"/>
        </w:rPr>
        <w:t>di</w:t>
      </w:r>
      <w:r w:rsidR="00BA2F5C">
        <w:rPr>
          <w:rFonts w:ascii="Garamond" w:hAnsi="Garamond"/>
          <w:sz w:val="24"/>
          <w:szCs w:val="24"/>
        </w:rPr>
        <w:t xml:space="preserve"> eteronomia, in favore dello</w:t>
      </w:r>
      <w:r>
        <w:rPr>
          <w:rFonts w:ascii="Garamond" w:hAnsi="Garamond"/>
          <w:sz w:val="24"/>
          <w:szCs w:val="24"/>
        </w:rPr>
        <w:t xml:space="preserve"> sgravarsi del carico</w:t>
      </w:r>
      <w:r w:rsidR="00BA2F5C">
        <w:rPr>
          <w:rFonts w:ascii="Garamond" w:hAnsi="Garamond"/>
          <w:sz w:val="24"/>
          <w:szCs w:val="24"/>
        </w:rPr>
        <w:t xml:space="preserve"> individuale</w:t>
      </w:r>
      <w:r>
        <w:rPr>
          <w:rFonts w:ascii="Garamond" w:hAnsi="Garamond"/>
          <w:sz w:val="24"/>
          <w:szCs w:val="24"/>
        </w:rPr>
        <w:t xml:space="preserve"> della decisio</w:t>
      </w:r>
      <w:r w:rsidR="00160CCF">
        <w:rPr>
          <w:rFonts w:ascii="Garamond" w:hAnsi="Garamond"/>
          <w:sz w:val="24"/>
          <w:szCs w:val="24"/>
        </w:rPr>
        <w:t>ne morale</w:t>
      </w:r>
      <w:r>
        <w:rPr>
          <w:rFonts w:ascii="Garamond" w:hAnsi="Garamond"/>
          <w:sz w:val="24"/>
          <w:szCs w:val="24"/>
        </w:rPr>
        <w:t>.</w:t>
      </w:r>
      <w:r w:rsidR="00160CCF">
        <w:rPr>
          <w:rFonts w:ascii="Garamond" w:hAnsi="Garamond"/>
          <w:sz w:val="24"/>
          <w:szCs w:val="24"/>
        </w:rPr>
        <w:t xml:space="preserve"> </w:t>
      </w:r>
      <w:r w:rsidR="00C45177">
        <w:rPr>
          <w:rFonts w:ascii="Garamond" w:hAnsi="Garamond"/>
          <w:sz w:val="24"/>
          <w:szCs w:val="24"/>
        </w:rPr>
        <w:t>Senza la pretesa di esaurire l’argomento,</w:t>
      </w:r>
      <w:r w:rsidR="007F3F5F">
        <w:rPr>
          <w:rFonts w:ascii="Garamond" w:hAnsi="Garamond"/>
          <w:sz w:val="24"/>
          <w:szCs w:val="24"/>
        </w:rPr>
        <w:t xml:space="preserve"> e con la consapevolezza che sul tema si è scritto moltissimo e </w:t>
      </w:r>
      <w:r w:rsidR="00E7202B">
        <w:rPr>
          <w:rFonts w:ascii="Garamond" w:hAnsi="Garamond"/>
          <w:sz w:val="24"/>
          <w:szCs w:val="24"/>
        </w:rPr>
        <w:t>che l’esperimento è stato oggetto di contestazioni di varia natura</w:t>
      </w:r>
      <w:r w:rsidR="007F3F5F">
        <w:rPr>
          <w:rFonts w:ascii="Garamond" w:hAnsi="Garamond"/>
          <w:sz w:val="24"/>
          <w:szCs w:val="24"/>
        </w:rPr>
        <w:t>,</w:t>
      </w:r>
      <w:r w:rsidR="00595944">
        <w:rPr>
          <w:rFonts w:ascii="Garamond" w:hAnsi="Garamond"/>
          <w:sz w:val="24"/>
          <w:szCs w:val="24"/>
        </w:rPr>
        <w:t xml:space="preserve"> ci</w:t>
      </w:r>
      <w:r w:rsidR="00C45177">
        <w:rPr>
          <w:rFonts w:ascii="Garamond" w:hAnsi="Garamond"/>
          <w:sz w:val="24"/>
          <w:szCs w:val="24"/>
        </w:rPr>
        <w:t xml:space="preserve"> si può </w:t>
      </w:r>
      <w:r w:rsidR="00595944">
        <w:rPr>
          <w:rFonts w:ascii="Garamond" w:hAnsi="Garamond"/>
          <w:sz w:val="24"/>
          <w:szCs w:val="24"/>
        </w:rPr>
        <w:t>limitare</w:t>
      </w:r>
      <w:r w:rsidR="00BA2F5C">
        <w:rPr>
          <w:rFonts w:ascii="Garamond" w:hAnsi="Garamond"/>
          <w:sz w:val="24"/>
          <w:szCs w:val="24"/>
        </w:rPr>
        <w:t xml:space="preserve"> ad </w:t>
      </w:r>
      <w:r w:rsidR="00D969DD">
        <w:rPr>
          <w:rFonts w:ascii="Garamond" w:hAnsi="Garamond"/>
          <w:sz w:val="24"/>
          <w:szCs w:val="24"/>
        </w:rPr>
        <w:t>accennare qui</w:t>
      </w:r>
      <w:r w:rsidR="00C45177">
        <w:rPr>
          <w:rFonts w:ascii="Garamond" w:hAnsi="Garamond"/>
          <w:sz w:val="24"/>
          <w:szCs w:val="24"/>
        </w:rPr>
        <w:t xml:space="preserve"> che l’esperimento </w:t>
      </w:r>
      <w:r w:rsidR="00EF5E83">
        <w:rPr>
          <w:rFonts w:ascii="Garamond" w:hAnsi="Garamond"/>
          <w:sz w:val="24"/>
          <w:szCs w:val="24"/>
        </w:rPr>
        <w:t>suggerisce</w:t>
      </w:r>
      <w:r w:rsidR="00E7202B">
        <w:rPr>
          <w:rFonts w:ascii="Garamond" w:hAnsi="Garamond"/>
          <w:sz w:val="24"/>
          <w:szCs w:val="24"/>
        </w:rPr>
        <w:t xml:space="preserve"> che</w:t>
      </w:r>
      <w:r w:rsidR="007F3F5F">
        <w:rPr>
          <w:rFonts w:ascii="Garamond" w:hAnsi="Garamond"/>
          <w:sz w:val="24"/>
          <w:szCs w:val="24"/>
        </w:rPr>
        <w:t xml:space="preserve"> a determinate condizioni</w:t>
      </w:r>
      <w:r w:rsidR="00C45177">
        <w:rPr>
          <w:rFonts w:ascii="Garamond" w:hAnsi="Garamond"/>
          <w:sz w:val="24"/>
          <w:szCs w:val="24"/>
        </w:rPr>
        <w:t xml:space="preserve"> gli individui tendono ad assimilarsi impersonalmente alla volontà del gruppo. </w:t>
      </w:r>
      <w:r w:rsidR="00695D9B">
        <w:rPr>
          <w:rFonts w:ascii="Garamond" w:hAnsi="Garamond"/>
          <w:sz w:val="24"/>
          <w:szCs w:val="24"/>
        </w:rPr>
        <w:t xml:space="preserve">Venendo meno </w:t>
      </w:r>
      <w:r w:rsidR="007F3F5F">
        <w:rPr>
          <w:rFonts w:ascii="Garamond" w:hAnsi="Garamond"/>
          <w:sz w:val="24"/>
          <w:szCs w:val="24"/>
        </w:rPr>
        <w:t>il senso dell’individualità</w:t>
      </w:r>
      <w:r w:rsidR="00695D9B">
        <w:rPr>
          <w:rFonts w:ascii="Garamond" w:hAnsi="Garamond"/>
          <w:sz w:val="24"/>
          <w:szCs w:val="24"/>
        </w:rPr>
        <w:t xml:space="preserve"> </w:t>
      </w:r>
      <w:proofErr w:type="gramStart"/>
      <w:r w:rsidR="00695D9B">
        <w:rPr>
          <w:rFonts w:ascii="Garamond" w:hAnsi="Garamond"/>
          <w:sz w:val="24"/>
          <w:szCs w:val="24"/>
        </w:rPr>
        <w:t>viene</w:t>
      </w:r>
      <w:proofErr w:type="gramEnd"/>
      <w:r w:rsidR="00695D9B">
        <w:rPr>
          <w:rFonts w:ascii="Garamond" w:hAnsi="Garamond"/>
          <w:sz w:val="24"/>
          <w:szCs w:val="24"/>
        </w:rPr>
        <w:t xml:space="preserve"> meno il senso di responsabilità individuale: si ha la percezione di un alleggerimento del carico morale</w:t>
      </w:r>
      <w:r w:rsidR="00595944">
        <w:rPr>
          <w:rFonts w:ascii="Garamond" w:hAnsi="Garamond"/>
          <w:sz w:val="24"/>
          <w:szCs w:val="24"/>
        </w:rPr>
        <w:t>,</w:t>
      </w:r>
      <w:r w:rsidR="00695D9B">
        <w:rPr>
          <w:rFonts w:ascii="Garamond" w:hAnsi="Garamond"/>
          <w:sz w:val="24"/>
          <w:szCs w:val="24"/>
        </w:rPr>
        <w:t xml:space="preserve"> che viene dalla diluizione della responsabilità nella forma gruppo</w:t>
      </w:r>
      <w:r w:rsidR="007F3F5F">
        <w:rPr>
          <w:rFonts w:ascii="Garamond" w:hAnsi="Garamond"/>
          <w:sz w:val="24"/>
          <w:szCs w:val="24"/>
        </w:rPr>
        <w:t xml:space="preserve"> e nella forma autorità</w:t>
      </w:r>
      <w:r w:rsidR="00695D9B">
        <w:rPr>
          <w:rFonts w:ascii="Garamond" w:hAnsi="Garamond"/>
          <w:sz w:val="24"/>
          <w:szCs w:val="24"/>
        </w:rPr>
        <w:t xml:space="preserve">. </w:t>
      </w:r>
    </w:p>
    <w:p w:rsidR="000441DF" w:rsidRDefault="00B96558" w:rsidP="00595944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Ciò </w:t>
      </w:r>
      <w:r w:rsidR="00BA2F5C">
        <w:rPr>
          <w:rFonts w:ascii="Garamond" w:hAnsi="Garamond"/>
          <w:sz w:val="24"/>
          <w:szCs w:val="24"/>
        </w:rPr>
        <w:t>suscita</w:t>
      </w:r>
      <w:r>
        <w:rPr>
          <w:rFonts w:ascii="Garamond" w:hAnsi="Garamond"/>
          <w:sz w:val="24"/>
          <w:szCs w:val="24"/>
        </w:rPr>
        <w:t xml:space="preserve"> tanto più i</w:t>
      </w:r>
      <w:r w:rsidR="00D969DD">
        <w:rPr>
          <w:rFonts w:ascii="Garamond" w:hAnsi="Garamond"/>
          <w:sz w:val="24"/>
          <w:szCs w:val="24"/>
        </w:rPr>
        <w:t>nteresse quanto più si consideri</w:t>
      </w:r>
      <w:r>
        <w:rPr>
          <w:rFonts w:ascii="Garamond" w:hAnsi="Garamond"/>
          <w:sz w:val="24"/>
          <w:szCs w:val="24"/>
        </w:rPr>
        <w:t xml:space="preserve"> che nel diritto e nella morale il perno fondamentale</w:t>
      </w:r>
      <w:r w:rsidR="00C45177">
        <w:rPr>
          <w:rFonts w:ascii="Garamond" w:hAnsi="Garamond"/>
          <w:sz w:val="24"/>
          <w:szCs w:val="24"/>
        </w:rPr>
        <w:t xml:space="preserve"> </w:t>
      </w:r>
      <w:proofErr w:type="gramStart"/>
      <w:r w:rsidR="00C45177">
        <w:rPr>
          <w:rFonts w:ascii="Garamond" w:hAnsi="Garamond"/>
          <w:sz w:val="24"/>
          <w:szCs w:val="24"/>
        </w:rPr>
        <w:t xml:space="preserve">è costituito </w:t>
      </w:r>
      <w:r w:rsidR="007F3F5F">
        <w:rPr>
          <w:rFonts w:ascii="Garamond" w:hAnsi="Garamond"/>
          <w:sz w:val="24"/>
          <w:szCs w:val="24"/>
        </w:rPr>
        <w:t>proprio</w:t>
      </w:r>
      <w:proofErr w:type="gramEnd"/>
      <w:r w:rsidR="007F3F5F">
        <w:rPr>
          <w:rFonts w:ascii="Garamond" w:hAnsi="Garamond"/>
          <w:sz w:val="24"/>
          <w:szCs w:val="24"/>
        </w:rPr>
        <w:t xml:space="preserve"> </w:t>
      </w:r>
      <w:r w:rsidR="00C45177">
        <w:rPr>
          <w:rFonts w:ascii="Garamond" w:hAnsi="Garamond"/>
          <w:sz w:val="24"/>
          <w:szCs w:val="24"/>
        </w:rPr>
        <w:t>dall</w:t>
      </w:r>
      <w:r w:rsidR="00D969DD">
        <w:rPr>
          <w:rFonts w:ascii="Garamond" w:hAnsi="Garamond"/>
          <w:sz w:val="24"/>
          <w:szCs w:val="24"/>
        </w:rPr>
        <w:t>a dimensione individuale</w:t>
      </w:r>
      <w:r w:rsidR="00C45177">
        <w:rPr>
          <w:rFonts w:ascii="Garamond" w:hAnsi="Garamond"/>
          <w:sz w:val="24"/>
          <w:szCs w:val="24"/>
        </w:rPr>
        <w:t>. Tanto ne</w:t>
      </w:r>
      <w:r>
        <w:rPr>
          <w:rFonts w:ascii="Garamond" w:hAnsi="Garamond"/>
          <w:sz w:val="24"/>
          <w:szCs w:val="24"/>
        </w:rPr>
        <w:t>l diritto quanto nella morale, infatti, il soggetto di riferimento imprescindibile è l’individuo: non si può processare una collettività</w:t>
      </w:r>
      <w:r w:rsidR="000441DF">
        <w:rPr>
          <w:rFonts w:ascii="Garamond" w:hAnsi="Garamond"/>
          <w:sz w:val="24"/>
          <w:szCs w:val="24"/>
        </w:rPr>
        <w:t>. Davanti alla legge si è colpevoli</w:t>
      </w:r>
      <w:r>
        <w:rPr>
          <w:rFonts w:ascii="Garamond" w:hAnsi="Garamond"/>
          <w:sz w:val="24"/>
          <w:szCs w:val="24"/>
        </w:rPr>
        <w:t xml:space="preserve"> sempre a titolo individuale, </w:t>
      </w:r>
      <w:r w:rsidR="00773F53">
        <w:rPr>
          <w:rFonts w:ascii="Garamond" w:hAnsi="Garamond"/>
          <w:sz w:val="24"/>
          <w:szCs w:val="24"/>
        </w:rPr>
        <w:t xml:space="preserve">con </w:t>
      </w:r>
      <w:r w:rsidR="000441DF">
        <w:rPr>
          <w:rFonts w:ascii="Garamond" w:hAnsi="Garamond"/>
          <w:sz w:val="24"/>
          <w:szCs w:val="24"/>
        </w:rPr>
        <w:t xml:space="preserve">il proprio </w:t>
      </w:r>
      <w:r w:rsidR="00773F53">
        <w:rPr>
          <w:rFonts w:ascii="Garamond" w:hAnsi="Garamond"/>
          <w:sz w:val="24"/>
          <w:szCs w:val="24"/>
        </w:rPr>
        <w:t xml:space="preserve">nome e cognome. </w:t>
      </w:r>
      <w:r w:rsidR="00595944">
        <w:rPr>
          <w:rFonts w:ascii="Garamond" w:hAnsi="Garamond"/>
          <w:sz w:val="24"/>
          <w:szCs w:val="24"/>
        </w:rPr>
        <w:t xml:space="preserve">Per la stessa ragione non è possibile imputare una colpa per il nazismo alla Germania come popolo, come ricorda la riflessione consegnata da </w:t>
      </w:r>
      <w:proofErr w:type="spellStart"/>
      <w:r w:rsidR="00595944">
        <w:rPr>
          <w:rFonts w:ascii="Garamond" w:hAnsi="Garamond"/>
          <w:sz w:val="24"/>
          <w:szCs w:val="24"/>
        </w:rPr>
        <w:t>Hannah</w:t>
      </w:r>
      <w:proofErr w:type="spellEnd"/>
      <w:r w:rsidR="00595944">
        <w:rPr>
          <w:rFonts w:ascii="Garamond" w:hAnsi="Garamond"/>
          <w:sz w:val="24"/>
          <w:szCs w:val="24"/>
        </w:rPr>
        <w:t xml:space="preserve"> </w:t>
      </w:r>
      <w:proofErr w:type="spellStart"/>
      <w:r w:rsidR="00595944">
        <w:rPr>
          <w:rFonts w:ascii="Garamond" w:hAnsi="Garamond"/>
          <w:sz w:val="24"/>
          <w:szCs w:val="24"/>
        </w:rPr>
        <w:t>Arendt</w:t>
      </w:r>
      <w:proofErr w:type="spellEnd"/>
      <w:r w:rsidR="00595944">
        <w:rPr>
          <w:rFonts w:ascii="Garamond" w:hAnsi="Garamond"/>
          <w:sz w:val="24"/>
          <w:szCs w:val="24"/>
        </w:rPr>
        <w:t xml:space="preserve"> al </w:t>
      </w:r>
      <w:r w:rsidR="00773F53">
        <w:rPr>
          <w:rFonts w:ascii="Garamond" w:hAnsi="Garamond"/>
          <w:sz w:val="24"/>
          <w:szCs w:val="24"/>
        </w:rPr>
        <w:t xml:space="preserve">saggio </w:t>
      </w:r>
      <w:r w:rsidR="000441DF">
        <w:rPr>
          <w:rFonts w:ascii="Garamond" w:hAnsi="Garamond"/>
          <w:sz w:val="24"/>
          <w:szCs w:val="24"/>
        </w:rPr>
        <w:t xml:space="preserve">del 1971, </w:t>
      </w:r>
      <w:r w:rsidR="000441DF" w:rsidRPr="000441DF">
        <w:rPr>
          <w:rFonts w:ascii="Garamond" w:hAnsi="Garamond"/>
          <w:i/>
          <w:sz w:val="24"/>
          <w:szCs w:val="24"/>
        </w:rPr>
        <w:t>Responsabilità collettiva</w:t>
      </w:r>
      <w:r w:rsidR="00C45177">
        <w:rPr>
          <w:rFonts w:ascii="Garamond" w:hAnsi="Garamond"/>
          <w:sz w:val="24"/>
          <w:szCs w:val="24"/>
        </w:rPr>
        <w:t>:</w:t>
      </w:r>
    </w:p>
    <w:p w:rsidR="007F3F5F" w:rsidRDefault="007F3F5F" w:rsidP="00857F9E">
      <w:pPr>
        <w:spacing w:line="240" w:lineRule="auto"/>
        <w:ind w:left="284" w:right="566"/>
        <w:contextualSpacing/>
        <w:jc w:val="both"/>
        <w:rPr>
          <w:rFonts w:ascii="Garamond" w:hAnsi="Garamond"/>
          <w:sz w:val="24"/>
          <w:szCs w:val="24"/>
        </w:rPr>
      </w:pPr>
    </w:p>
    <w:p w:rsidR="000441DF" w:rsidRDefault="00857F9E" w:rsidP="007F3F5F">
      <w:pPr>
        <w:spacing w:line="240" w:lineRule="auto"/>
        <w:ind w:left="567" w:right="566"/>
        <w:contextualSpacing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«</w:t>
      </w:r>
      <w:proofErr w:type="gramEnd"/>
      <w:r w:rsidR="000441DF">
        <w:rPr>
          <w:rFonts w:ascii="Garamond" w:hAnsi="Garamond"/>
          <w:sz w:val="24"/>
          <w:szCs w:val="24"/>
        </w:rPr>
        <w:t>Le norme giuridiche e morali hanno in comune qualcosa di importante: si riferiscono sempre alla persona e a ciò che la persona ha fatto. Se a questa persona capita di essere coinvolta in un’impresa collettiva, come nel caso dei crimini organizz</w:t>
      </w:r>
      <w:r>
        <w:rPr>
          <w:rFonts w:ascii="Garamond" w:hAnsi="Garamond"/>
          <w:sz w:val="24"/>
          <w:szCs w:val="24"/>
        </w:rPr>
        <w:t xml:space="preserve">ati, ciò che si deve giudicare </w:t>
      </w:r>
      <w:r w:rsidR="000441DF">
        <w:rPr>
          <w:rFonts w:ascii="Garamond" w:hAnsi="Garamond"/>
          <w:sz w:val="24"/>
          <w:szCs w:val="24"/>
        </w:rPr>
        <w:t xml:space="preserve">resta comunque la singola persona, il suo grado di partecipazione al crimine, il suo specifico ruolo, e così via – non si deve giudicare il gruppo. </w:t>
      </w:r>
      <w:proofErr w:type="gramStart"/>
      <w:r w:rsidR="000441DF">
        <w:rPr>
          <w:rFonts w:ascii="Garamond" w:hAnsi="Garamond"/>
          <w:sz w:val="24"/>
          <w:szCs w:val="24"/>
        </w:rPr>
        <w:t>[…</w:t>
      </w:r>
      <w:proofErr w:type="gramEnd"/>
      <w:r w:rsidR="000441DF">
        <w:rPr>
          <w:rFonts w:ascii="Garamond" w:hAnsi="Garamond"/>
          <w:sz w:val="24"/>
          <w:szCs w:val="24"/>
        </w:rPr>
        <w:t xml:space="preserve">] </w:t>
      </w:r>
      <w:r>
        <w:rPr>
          <w:rFonts w:ascii="Garamond" w:hAnsi="Garamond"/>
          <w:sz w:val="24"/>
          <w:szCs w:val="24"/>
        </w:rPr>
        <w:t>È</w:t>
      </w:r>
      <w:r w:rsidR="000441DF">
        <w:rPr>
          <w:rFonts w:ascii="Garamond" w:hAnsi="Garamond"/>
          <w:sz w:val="24"/>
          <w:szCs w:val="24"/>
        </w:rPr>
        <w:t xml:space="preserve"> questa la grandezza del tribunale: perfino un semplice ingranaggio, in quella sede, ridiventa una persona</w:t>
      </w:r>
      <w:r>
        <w:rPr>
          <w:rFonts w:ascii="Garamond" w:hAnsi="Garamond"/>
          <w:sz w:val="24"/>
          <w:szCs w:val="24"/>
        </w:rPr>
        <w:t>»</w:t>
      </w:r>
      <w:r w:rsidR="00C45177">
        <w:rPr>
          <w:rStyle w:val="FootnoteReference"/>
          <w:rFonts w:ascii="Garamond" w:hAnsi="Garamond"/>
          <w:sz w:val="24"/>
          <w:szCs w:val="24"/>
        </w:rPr>
        <w:footnoteReference w:id="9"/>
      </w:r>
      <w:r w:rsidR="000441DF">
        <w:rPr>
          <w:rFonts w:ascii="Garamond" w:hAnsi="Garamond"/>
          <w:sz w:val="24"/>
          <w:szCs w:val="24"/>
        </w:rPr>
        <w:t xml:space="preserve">.  </w:t>
      </w:r>
    </w:p>
    <w:p w:rsidR="000441DF" w:rsidRDefault="000441DF" w:rsidP="00284637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</w:p>
    <w:p w:rsidR="007F3F5F" w:rsidRDefault="00DF385A" w:rsidP="00AB66B0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857F9E">
        <w:rPr>
          <w:rFonts w:ascii="Garamond" w:hAnsi="Garamond"/>
          <w:sz w:val="24"/>
          <w:szCs w:val="24"/>
        </w:rPr>
        <w:t xml:space="preserve">robabilmente il </w:t>
      </w:r>
      <w:r w:rsidR="00E7202B">
        <w:rPr>
          <w:rFonts w:ascii="Garamond" w:hAnsi="Garamond"/>
          <w:sz w:val="24"/>
          <w:szCs w:val="24"/>
        </w:rPr>
        <w:t xml:space="preserve">senso del </w:t>
      </w:r>
      <w:r w:rsidR="00857F9E">
        <w:rPr>
          <w:rFonts w:ascii="Garamond" w:hAnsi="Garamond"/>
          <w:sz w:val="24"/>
          <w:szCs w:val="24"/>
        </w:rPr>
        <w:t xml:space="preserve">male si gioca </w:t>
      </w:r>
      <w:r w:rsidR="007F3F5F">
        <w:rPr>
          <w:rFonts w:ascii="Garamond" w:hAnsi="Garamond"/>
          <w:sz w:val="24"/>
          <w:szCs w:val="24"/>
        </w:rPr>
        <w:t xml:space="preserve">(anche) </w:t>
      </w:r>
      <w:r w:rsidR="00857F9E">
        <w:rPr>
          <w:rFonts w:ascii="Garamond" w:hAnsi="Garamond"/>
          <w:sz w:val="24"/>
          <w:szCs w:val="24"/>
        </w:rPr>
        <w:t xml:space="preserve">in questa dialettica particolare fra la </w:t>
      </w:r>
      <w:proofErr w:type="spellStart"/>
      <w:r w:rsidR="00857F9E">
        <w:rPr>
          <w:rFonts w:ascii="Garamond" w:hAnsi="Garamond"/>
          <w:sz w:val="24"/>
          <w:szCs w:val="24"/>
        </w:rPr>
        <w:t>des</w:t>
      </w:r>
      <w:r w:rsidR="00D74271">
        <w:rPr>
          <w:rFonts w:ascii="Garamond" w:hAnsi="Garamond"/>
          <w:sz w:val="24"/>
          <w:szCs w:val="24"/>
        </w:rPr>
        <w:t>oggettivazione</w:t>
      </w:r>
      <w:proofErr w:type="spellEnd"/>
      <w:r w:rsidR="00D74271">
        <w:rPr>
          <w:rFonts w:ascii="Garamond" w:hAnsi="Garamond"/>
          <w:sz w:val="24"/>
          <w:szCs w:val="24"/>
        </w:rPr>
        <w:t xml:space="preserve"> e l’individuazione</w:t>
      </w:r>
      <w:r>
        <w:rPr>
          <w:rFonts w:ascii="Garamond" w:hAnsi="Garamond"/>
          <w:sz w:val="24"/>
          <w:szCs w:val="24"/>
        </w:rPr>
        <w:t>, intesa come quel processo che toglie il singolo al conforto</w:t>
      </w:r>
      <w:r w:rsidR="004621F2">
        <w:rPr>
          <w:rFonts w:ascii="Garamond" w:hAnsi="Garamond"/>
          <w:sz w:val="24"/>
          <w:szCs w:val="24"/>
        </w:rPr>
        <w:t xml:space="preserve"> morale</w:t>
      </w:r>
      <w:r>
        <w:rPr>
          <w:rFonts w:ascii="Garamond" w:hAnsi="Garamond"/>
          <w:sz w:val="24"/>
          <w:szCs w:val="24"/>
        </w:rPr>
        <w:t xml:space="preserve"> dell’indifferenziazione</w:t>
      </w:r>
      <w:r w:rsidR="004621F2">
        <w:rPr>
          <w:rFonts w:ascii="Garamond" w:hAnsi="Garamond"/>
          <w:sz w:val="24"/>
          <w:szCs w:val="24"/>
        </w:rPr>
        <w:t xml:space="preserve"> (senza differenze, come </w:t>
      </w:r>
      <w:proofErr w:type="gramStart"/>
      <w:r w:rsidR="004621F2">
        <w:rPr>
          <w:rFonts w:ascii="Garamond" w:hAnsi="Garamond"/>
          <w:sz w:val="24"/>
          <w:szCs w:val="24"/>
        </w:rPr>
        <w:t>può</w:t>
      </w:r>
      <w:proofErr w:type="gramEnd"/>
      <w:r w:rsidR="004621F2">
        <w:rPr>
          <w:rFonts w:ascii="Garamond" w:hAnsi="Garamond"/>
          <w:sz w:val="24"/>
          <w:szCs w:val="24"/>
        </w:rPr>
        <w:t xml:space="preserve"> esistere la colpa e, quindi, la pena?)</w:t>
      </w:r>
      <w:r w:rsidR="00857F9E">
        <w:rPr>
          <w:rFonts w:ascii="Garamond" w:hAnsi="Garamond"/>
          <w:sz w:val="24"/>
          <w:szCs w:val="24"/>
        </w:rPr>
        <w:t xml:space="preserve">. </w:t>
      </w:r>
      <w:r w:rsidR="007F3F5F">
        <w:rPr>
          <w:rFonts w:ascii="Garamond" w:hAnsi="Garamond"/>
          <w:sz w:val="24"/>
          <w:szCs w:val="24"/>
        </w:rPr>
        <w:t xml:space="preserve">Da un lato, un esperimento come quello di </w:t>
      </w:r>
      <w:proofErr w:type="spellStart"/>
      <w:r w:rsidR="007F3F5F">
        <w:rPr>
          <w:rFonts w:ascii="Garamond" w:hAnsi="Garamond"/>
          <w:sz w:val="24"/>
          <w:szCs w:val="24"/>
        </w:rPr>
        <w:t>Zimbardo</w:t>
      </w:r>
      <w:proofErr w:type="spellEnd"/>
      <w:r w:rsidR="007F3F5F">
        <w:rPr>
          <w:rFonts w:ascii="Garamond" w:hAnsi="Garamond"/>
          <w:sz w:val="24"/>
          <w:szCs w:val="24"/>
        </w:rPr>
        <w:t xml:space="preserve"> testimonia che a determinate condizioni vi è un nesso fra la </w:t>
      </w:r>
      <w:proofErr w:type="spellStart"/>
      <w:r w:rsidR="007F3F5F">
        <w:rPr>
          <w:rFonts w:ascii="Garamond" w:hAnsi="Garamond"/>
          <w:sz w:val="24"/>
          <w:szCs w:val="24"/>
        </w:rPr>
        <w:t>deindividuazione</w:t>
      </w:r>
      <w:proofErr w:type="spellEnd"/>
      <w:r w:rsidR="007F3F5F">
        <w:rPr>
          <w:rFonts w:ascii="Garamond" w:hAnsi="Garamond"/>
          <w:sz w:val="24"/>
          <w:szCs w:val="24"/>
        </w:rPr>
        <w:t xml:space="preserve"> e la violenza e il male, e, dall’altro, la morale e il diritto esigono sempre risposte dall’individuo</w:t>
      </w:r>
      <w:r w:rsidR="006F2E20">
        <w:rPr>
          <w:rFonts w:ascii="Garamond" w:hAnsi="Garamond"/>
          <w:sz w:val="24"/>
          <w:szCs w:val="24"/>
        </w:rPr>
        <w:t xml:space="preserve"> preso singolarmente</w:t>
      </w:r>
      <w:r w:rsidR="007F3F5F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Questa tensione particolare </w:t>
      </w:r>
      <w:r w:rsidR="00194303">
        <w:rPr>
          <w:rFonts w:ascii="Garamond" w:hAnsi="Garamond"/>
          <w:sz w:val="24"/>
          <w:szCs w:val="24"/>
        </w:rPr>
        <w:t>sembra abbia</w:t>
      </w:r>
      <w:r>
        <w:rPr>
          <w:rFonts w:ascii="Garamond" w:hAnsi="Garamond"/>
          <w:sz w:val="24"/>
          <w:szCs w:val="24"/>
        </w:rPr>
        <w:t xml:space="preserve"> qualcosa da dirci sul male. </w:t>
      </w:r>
    </w:p>
    <w:p w:rsidR="00AB66B0" w:rsidRDefault="004621F2" w:rsidP="00AB66B0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Che cosa significa, </w:t>
      </w:r>
      <w:r w:rsidR="00487A7D">
        <w:rPr>
          <w:rFonts w:ascii="Garamond" w:hAnsi="Garamond"/>
          <w:sz w:val="24"/>
          <w:szCs w:val="24"/>
        </w:rPr>
        <w:t>dunque, questa dinamica</w:t>
      </w:r>
      <w:r w:rsidR="00857F9E">
        <w:rPr>
          <w:rFonts w:ascii="Garamond" w:hAnsi="Garamond"/>
          <w:sz w:val="24"/>
          <w:szCs w:val="24"/>
        </w:rPr>
        <w:t xml:space="preserve">, che sembra svolgere un ruolo speciale nella </w:t>
      </w:r>
      <w:r w:rsidR="00D969DD">
        <w:rPr>
          <w:rFonts w:ascii="Garamond" w:hAnsi="Garamond"/>
          <w:sz w:val="24"/>
          <w:szCs w:val="24"/>
        </w:rPr>
        <w:t>determinazione</w:t>
      </w:r>
      <w:r w:rsidR="00325B8F">
        <w:rPr>
          <w:rFonts w:ascii="Garamond" w:hAnsi="Garamond"/>
          <w:sz w:val="24"/>
          <w:szCs w:val="24"/>
        </w:rPr>
        <w:t xml:space="preserve"> del male</w:t>
      </w:r>
      <w:r w:rsidR="00857F9E">
        <w:rPr>
          <w:rFonts w:ascii="Garamond" w:hAnsi="Garamond"/>
          <w:sz w:val="24"/>
          <w:szCs w:val="24"/>
        </w:rPr>
        <w:t xml:space="preserve">? </w:t>
      </w:r>
      <w:r w:rsidR="007552F1">
        <w:rPr>
          <w:rFonts w:ascii="Garamond" w:hAnsi="Garamond"/>
          <w:sz w:val="24"/>
          <w:szCs w:val="24"/>
        </w:rPr>
        <w:t xml:space="preserve">La risposta a questa domanda può venire ancora una volta dalla riflessione di </w:t>
      </w:r>
      <w:proofErr w:type="spellStart"/>
      <w:r w:rsidR="007552F1">
        <w:rPr>
          <w:rFonts w:ascii="Garamond" w:hAnsi="Garamond"/>
          <w:sz w:val="24"/>
          <w:szCs w:val="24"/>
        </w:rPr>
        <w:t>Arendt</w:t>
      </w:r>
      <w:proofErr w:type="spellEnd"/>
      <w:r w:rsidR="007552F1">
        <w:rPr>
          <w:rFonts w:ascii="Garamond" w:hAnsi="Garamond"/>
          <w:sz w:val="24"/>
          <w:szCs w:val="24"/>
        </w:rPr>
        <w:t xml:space="preserve">. Nel saggio </w:t>
      </w:r>
      <w:r w:rsidR="00773F53">
        <w:rPr>
          <w:rFonts w:ascii="Garamond" w:hAnsi="Garamond"/>
          <w:sz w:val="24"/>
          <w:szCs w:val="24"/>
        </w:rPr>
        <w:t>del 1964</w:t>
      </w:r>
      <w:r w:rsidR="007552F1">
        <w:rPr>
          <w:rFonts w:ascii="Garamond" w:hAnsi="Garamond"/>
          <w:sz w:val="24"/>
          <w:szCs w:val="24"/>
        </w:rPr>
        <w:t>,</w:t>
      </w:r>
      <w:r w:rsidR="00773F53">
        <w:rPr>
          <w:rFonts w:ascii="Garamond" w:hAnsi="Garamond"/>
          <w:sz w:val="24"/>
          <w:szCs w:val="24"/>
        </w:rPr>
        <w:t xml:space="preserve"> </w:t>
      </w:r>
      <w:r w:rsidR="00773F53" w:rsidRPr="00773F53">
        <w:rPr>
          <w:rFonts w:ascii="Garamond" w:hAnsi="Garamond"/>
          <w:i/>
          <w:sz w:val="24"/>
          <w:szCs w:val="24"/>
        </w:rPr>
        <w:t>La responsabilità personale sotto la dittatura</w:t>
      </w:r>
      <w:r w:rsidR="007552F1">
        <w:rPr>
          <w:rFonts w:ascii="Garamond" w:hAnsi="Garamond"/>
          <w:sz w:val="24"/>
          <w:szCs w:val="24"/>
        </w:rPr>
        <w:t xml:space="preserve">, la filosofa </w:t>
      </w:r>
      <w:r w:rsidR="00AB66B0">
        <w:rPr>
          <w:rFonts w:ascii="Garamond" w:hAnsi="Garamond"/>
          <w:sz w:val="24"/>
          <w:szCs w:val="24"/>
        </w:rPr>
        <w:t>riflette</w:t>
      </w:r>
      <w:r w:rsidR="007F3F5F">
        <w:rPr>
          <w:rFonts w:ascii="Garamond" w:hAnsi="Garamond"/>
          <w:sz w:val="24"/>
          <w:szCs w:val="24"/>
        </w:rPr>
        <w:t xml:space="preserve"> –</w:t>
      </w:r>
      <w:r w:rsidR="00AB66B0">
        <w:rPr>
          <w:rFonts w:ascii="Garamond" w:hAnsi="Garamond"/>
          <w:sz w:val="24"/>
          <w:szCs w:val="24"/>
        </w:rPr>
        <w:t xml:space="preserve"> sulla scorta del </w:t>
      </w:r>
      <w:r w:rsidR="00AB66B0" w:rsidRPr="00AB66B0">
        <w:rPr>
          <w:rFonts w:ascii="Garamond" w:hAnsi="Garamond"/>
          <w:i/>
          <w:sz w:val="24"/>
          <w:szCs w:val="24"/>
        </w:rPr>
        <w:t>Gorgia</w:t>
      </w:r>
      <w:r w:rsidR="00AB66B0">
        <w:rPr>
          <w:rFonts w:ascii="Garamond" w:hAnsi="Garamond"/>
          <w:sz w:val="24"/>
          <w:szCs w:val="24"/>
        </w:rPr>
        <w:t xml:space="preserve"> platonico </w:t>
      </w:r>
      <w:r w:rsidR="007F3F5F">
        <w:rPr>
          <w:rFonts w:ascii="Garamond" w:hAnsi="Garamond"/>
          <w:sz w:val="24"/>
          <w:szCs w:val="24"/>
        </w:rPr>
        <w:t>– intorno alla</w:t>
      </w:r>
      <w:r w:rsidR="00AB66B0">
        <w:rPr>
          <w:rFonts w:ascii="Garamond" w:hAnsi="Garamond"/>
          <w:sz w:val="24"/>
          <w:szCs w:val="24"/>
        </w:rPr>
        <w:t xml:space="preserve"> solitudine </w:t>
      </w:r>
      <w:r w:rsidR="00325B8F">
        <w:rPr>
          <w:rFonts w:ascii="Garamond" w:hAnsi="Garamond"/>
          <w:sz w:val="24"/>
          <w:szCs w:val="24"/>
        </w:rPr>
        <w:t xml:space="preserve">come dialogo fra sé e sé </w:t>
      </w:r>
      <w:r w:rsidR="00AB66B0">
        <w:rPr>
          <w:rFonts w:ascii="Garamond" w:hAnsi="Garamond"/>
          <w:sz w:val="24"/>
          <w:szCs w:val="24"/>
        </w:rPr>
        <w:t>d</w:t>
      </w:r>
      <w:r>
        <w:rPr>
          <w:rFonts w:ascii="Garamond" w:hAnsi="Garamond"/>
          <w:sz w:val="24"/>
          <w:szCs w:val="24"/>
        </w:rPr>
        <w:t>a parte d</w:t>
      </w:r>
      <w:r w:rsidR="00AB66B0">
        <w:rPr>
          <w:rFonts w:ascii="Garamond" w:hAnsi="Garamond"/>
          <w:sz w:val="24"/>
          <w:szCs w:val="24"/>
        </w:rPr>
        <w:t>ell’</w:t>
      </w:r>
      <w:proofErr w:type="gramStart"/>
      <w:r w:rsidR="00AB66B0">
        <w:rPr>
          <w:rFonts w:ascii="Garamond" w:hAnsi="Garamond"/>
          <w:sz w:val="24"/>
          <w:szCs w:val="24"/>
        </w:rPr>
        <w:t>io</w:t>
      </w:r>
      <w:proofErr w:type="gramEnd"/>
      <w:r w:rsidR="00AB66B0">
        <w:rPr>
          <w:rFonts w:ascii="Garamond" w:hAnsi="Garamond"/>
          <w:sz w:val="24"/>
          <w:szCs w:val="24"/>
        </w:rPr>
        <w:t xml:space="preserve"> pensante. Nel dialogo</w:t>
      </w:r>
      <w:r w:rsidR="00D969DD">
        <w:rPr>
          <w:rFonts w:ascii="Garamond" w:hAnsi="Garamond"/>
          <w:sz w:val="24"/>
          <w:szCs w:val="24"/>
        </w:rPr>
        <w:t xml:space="preserve"> platonico</w:t>
      </w:r>
      <w:r w:rsidR="00AB66B0">
        <w:rPr>
          <w:rFonts w:ascii="Garamond" w:hAnsi="Garamond"/>
          <w:sz w:val="24"/>
          <w:szCs w:val="24"/>
        </w:rPr>
        <w:t xml:space="preserve">, Socrate finisce per scontrarsi </w:t>
      </w:r>
      <w:r w:rsidR="00773F53">
        <w:rPr>
          <w:rFonts w:ascii="Garamond" w:hAnsi="Garamond"/>
          <w:sz w:val="24"/>
          <w:szCs w:val="24"/>
        </w:rPr>
        <w:t>con la sua incapacità di convincere</w:t>
      </w:r>
      <w:r w:rsidR="00AB66B0">
        <w:rPr>
          <w:rFonts w:ascii="Garamond" w:hAnsi="Garamond"/>
          <w:sz w:val="24"/>
          <w:szCs w:val="24"/>
        </w:rPr>
        <w:t xml:space="preserve"> gli interlocutori, perciò </w:t>
      </w:r>
      <w:proofErr w:type="gramStart"/>
      <w:r w:rsidR="007F3F5F">
        <w:rPr>
          <w:rFonts w:ascii="Garamond" w:hAnsi="Garamond"/>
          <w:sz w:val="24"/>
          <w:szCs w:val="24"/>
        </w:rPr>
        <w:t>conclude</w:t>
      </w:r>
      <w:proofErr w:type="gramEnd"/>
      <w:r w:rsidR="00AB66B0">
        <w:rPr>
          <w:rFonts w:ascii="Garamond" w:hAnsi="Garamond"/>
          <w:sz w:val="24"/>
          <w:szCs w:val="24"/>
        </w:rPr>
        <w:t xml:space="preserve"> che è assai meglio che gli altri non siano d’accordo con lui, «</w:t>
      </w:r>
      <w:r w:rsidR="00773F53">
        <w:rPr>
          <w:rFonts w:ascii="Garamond" w:hAnsi="Garamond"/>
          <w:sz w:val="24"/>
          <w:szCs w:val="24"/>
        </w:rPr>
        <w:t>piuttosto che essere io, che pure sono uno solo, in disaccordo e in contraddizione con me stesso</w:t>
      </w:r>
      <w:r w:rsidR="00AB66B0">
        <w:rPr>
          <w:rFonts w:ascii="Garamond" w:hAnsi="Garamond"/>
          <w:sz w:val="24"/>
          <w:szCs w:val="24"/>
        </w:rPr>
        <w:t>»</w:t>
      </w:r>
      <w:r w:rsidR="00AF1DE2">
        <w:rPr>
          <w:rStyle w:val="FootnoteReference"/>
          <w:rFonts w:ascii="Garamond" w:hAnsi="Garamond"/>
          <w:sz w:val="24"/>
          <w:szCs w:val="24"/>
        </w:rPr>
        <w:footnoteReference w:id="10"/>
      </w:r>
      <w:r w:rsidR="00AF1DE2">
        <w:rPr>
          <w:rFonts w:ascii="Garamond" w:hAnsi="Garamond"/>
          <w:sz w:val="24"/>
          <w:szCs w:val="24"/>
        </w:rPr>
        <w:t xml:space="preserve">. </w:t>
      </w:r>
      <w:r w:rsidR="00AB66B0">
        <w:rPr>
          <w:rFonts w:ascii="Garamond" w:hAnsi="Garamond"/>
          <w:sz w:val="24"/>
          <w:szCs w:val="24"/>
        </w:rPr>
        <w:t xml:space="preserve">Per </w:t>
      </w:r>
      <w:proofErr w:type="spellStart"/>
      <w:r w:rsidR="00AB66B0">
        <w:rPr>
          <w:rFonts w:ascii="Garamond" w:hAnsi="Garamond"/>
          <w:sz w:val="24"/>
          <w:szCs w:val="24"/>
        </w:rPr>
        <w:t>Arendt</w:t>
      </w:r>
      <w:proofErr w:type="spellEnd"/>
      <w:r w:rsidR="00AB66B0">
        <w:rPr>
          <w:rFonts w:ascii="Garamond" w:hAnsi="Garamond"/>
          <w:sz w:val="24"/>
          <w:szCs w:val="24"/>
        </w:rPr>
        <w:t xml:space="preserve"> l’idea chiave del brano risiede propriamente nella possibilità </w:t>
      </w:r>
      <w:r w:rsidR="00AA3CE9">
        <w:rPr>
          <w:rFonts w:ascii="Garamond" w:hAnsi="Garamond"/>
          <w:sz w:val="24"/>
          <w:szCs w:val="24"/>
        </w:rPr>
        <w:t xml:space="preserve">prospettata da Socrate </w:t>
      </w:r>
      <w:r w:rsidR="00AB66B0">
        <w:rPr>
          <w:rFonts w:ascii="Garamond" w:hAnsi="Garamond"/>
          <w:sz w:val="24"/>
          <w:szCs w:val="24"/>
        </w:rPr>
        <w:t>del dialogo fra sé e sé in seno all’</w:t>
      </w:r>
      <w:proofErr w:type="gramStart"/>
      <w:r w:rsidR="00AB66B0">
        <w:rPr>
          <w:rFonts w:ascii="Garamond" w:hAnsi="Garamond"/>
          <w:sz w:val="24"/>
          <w:szCs w:val="24"/>
        </w:rPr>
        <w:t>io</w:t>
      </w:r>
      <w:proofErr w:type="gramEnd"/>
      <w:r w:rsidR="00AB66B0">
        <w:rPr>
          <w:rFonts w:ascii="Garamond" w:hAnsi="Garamond"/>
          <w:sz w:val="24"/>
          <w:szCs w:val="24"/>
        </w:rPr>
        <w:t xml:space="preserve">, </w:t>
      </w:r>
      <w:r w:rsidR="007F3F5F">
        <w:rPr>
          <w:rFonts w:ascii="Garamond" w:hAnsi="Garamond"/>
          <w:sz w:val="24"/>
          <w:szCs w:val="24"/>
        </w:rPr>
        <w:t>il quale</w:t>
      </w:r>
      <w:r w:rsidR="00AB66B0">
        <w:rPr>
          <w:rFonts w:ascii="Garamond" w:hAnsi="Garamond"/>
          <w:sz w:val="24"/>
          <w:szCs w:val="24"/>
        </w:rPr>
        <w:t xml:space="preserve"> così si rivela un </w:t>
      </w:r>
      <w:r w:rsidR="00325B8F">
        <w:rPr>
          <w:rFonts w:ascii="Garamond" w:hAnsi="Garamond"/>
          <w:sz w:val="24"/>
          <w:szCs w:val="24"/>
        </w:rPr>
        <w:t>«</w:t>
      </w:r>
      <w:proofErr w:type="spellStart"/>
      <w:r w:rsidR="00AB66B0">
        <w:rPr>
          <w:rFonts w:ascii="Garamond" w:hAnsi="Garamond"/>
          <w:sz w:val="24"/>
          <w:szCs w:val="24"/>
        </w:rPr>
        <w:t>due-in-uno</w:t>
      </w:r>
      <w:proofErr w:type="spellEnd"/>
      <w:r w:rsidR="007F3F5F">
        <w:rPr>
          <w:rFonts w:ascii="Garamond" w:hAnsi="Garamond"/>
          <w:sz w:val="24"/>
          <w:szCs w:val="24"/>
        </w:rPr>
        <w:t>»</w:t>
      </w:r>
      <w:r w:rsidR="00AB66B0">
        <w:rPr>
          <w:rFonts w:ascii="Garamond" w:hAnsi="Garamond"/>
          <w:sz w:val="24"/>
          <w:szCs w:val="24"/>
        </w:rPr>
        <w:t xml:space="preserve">. </w:t>
      </w:r>
    </w:p>
    <w:p w:rsidR="007F3F5F" w:rsidRDefault="007F3F5F" w:rsidP="00AB66B0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</w:p>
    <w:p w:rsidR="00773F53" w:rsidRDefault="00AB66B0" w:rsidP="00AB66B0">
      <w:pPr>
        <w:spacing w:line="240" w:lineRule="auto"/>
        <w:ind w:left="284" w:right="566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«</w:t>
      </w:r>
      <w:r w:rsidR="00773F53">
        <w:rPr>
          <w:rFonts w:ascii="Garamond" w:hAnsi="Garamond"/>
          <w:sz w:val="24"/>
          <w:szCs w:val="24"/>
        </w:rPr>
        <w:t xml:space="preserve">Il significato è chiaro: anche se sono uno solo, io non sono uno solo, ho un io e sono sempre in rapporto col </w:t>
      </w:r>
      <w:proofErr w:type="gramStart"/>
      <w:r w:rsidR="00773F53">
        <w:rPr>
          <w:rFonts w:ascii="Garamond" w:hAnsi="Garamond"/>
          <w:sz w:val="24"/>
          <w:szCs w:val="24"/>
        </w:rPr>
        <w:t>mio proprio</w:t>
      </w:r>
      <w:proofErr w:type="gramEnd"/>
      <w:r w:rsidR="00773F53">
        <w:rPr>
          <w:rFonts w:ascii="Garamond" w:hAnsi="Garamond"/>
          <w:sz w:val="24"/>
          <w:szCs w:val="24"/>
        </w:rPr>
        <w:t xml:space="preserve"> io. </w:t>
      </w:r>
      <w:proofErr w:type="gramStart"/>
      <w:r w:rsidR="00773F53">
        <w:rPr>
          <w:rFonts w:ascii="Garamond" w:hAnsi="Garamond"/>
          <w:sz w:val="24"/>
          <w:szCs w:val="24"/>
        </w:rPr>
        <w:t>Quest’</w:t>
      </w:r>
      <w:proofErr w:type="gramEnd"/>
      <w:r w:rsidR="00773F53">
        <w:rPr>
          <w:rFonts w:ascii="Garamond" w:hAnsi="Garamond"/>
          <w:sz w:val="24"/>
          <w:szCs w:val="24"/>
        </w:rPr>
        <w:t xml:space="preserve">io non è affatto un’illusione; si fa sentire parlandomi – io </w:t>
      </w:r>
      <w:r w:rsidR="00FC6B1B">
        <w:rPr>
          <w:rFonts w:ascii="Garamond" w:hAnsi="Garamond"/>
          <w:sz w:val="24"/>
          <w:szCs w:val="24"/>
        </w:rPr>
        <w:t xml:space="preserve">parlo </w:t>
      </w:r>
      <w:r w:rsidR="00773F53">
        <w:rPr>
          <w:rFonts w:ascii="Garamond" w:hAnsi="Garamond"/>
          <w:sz w:val="24"/>
          <w:szCs w:val="24"/>
        </w:rPr>
        <w:t xml:space="preserve">a me stesso, non sono soltanto cosciente di me stesso. E in tal senso, benché io </w:t>
      </w:r>
      <w:r w:rsidR="00193F76">
        <w:rPr>
          <w:rFonts w:ascii="Garamond" w:hAnsi="Garamond"/>
          <w:sz w:val="24"/>
          <w:szCs w:val="24"/>
        </w:rPr>
        <w:t xml:space="preserve">sia uno solo, io sono anche </w:t>
      </w:r>
      <w:proofErr w:type="spellStart"/>
      <w:proofErr w:type="gramStart"/>
      <w:r w:rsidR="00193F76">
        <w:rPr>
          <w:rFonts w:ascii="Garamond" w:hAnsi="Garamond"/>
          <w:sz w:val="24"/>
          <w:szCs w:val="24"/>
        </w:rPr>
        <w:t>due-in-uno</w:t>
      </w:r>
      <w:proofErr w:type="spellEnd"/>
      <w:proofErr w:type="gramEnd"/>
      <w:r w:rsidR="00193F76">
        <w:rPr>
          <w:rFonts w:ascii="Garamond" w:hAnsi="Garamond"/>
          <w:sz w:val="24"/>
          <w:szCs w:val="24"/>
        </w:rPr>
        <w:t xml:space="preserve">. E può esserci </w:t>
      </w:r>
      <w:r w:rsidR="00FC6B1B">
        <w:rPr>
          <w:rFonts w:ascii="Garamond" w:hAnsi="Garamond"/>
          <w:sz w:val="24"/>
          <w:szCs w:val="24"/>
        </w:rPr>
        <w:t>a</w:t>
      </w:r>
      <w:r w:rsidR="00193F76">
        <w:rPr>
          <w:rFonts w:ascii="Garamond" w:hAnsi="Garamond"/>
          <w:sz w:val="24"/>
          <w:szCs w:val="24"/>
        </w:rPr>
        <w:t xml:space="preserve">rmonia o disarmonia con l’io. Se non sono d’accordo con altra gente, posso alzare i tacchi e svignarmela; ma non posso </w:t>
      </w:r>
      <w:proofErr w:type="gramStart"/>
      <w:r w:rsidR="00193F76">
        <w:rPr>
          <w:rFonts w:ascii="Garamond" w:hAnsi="Garamond"/>
          <w:sz w:val="24"/>
          <w:szCs w:val="24"/>
        </w:rPr>
        <w:t>svignarmela</w:t>
      </w:r>
      <w:proofErr w:type="gramEnd"/>
      <w:r w:rsidR="00193F76">
        <w:rPr>
          <w:rFonts w:ascii="Garamond" w:hAnsi="Garamond"/>
          <w:sz w:val="24"/>
          <w:szCs w:val="24"/>
        </w:rPr>
        <w:t xml:space="preserve"> da me stesso, e perciò cerco sempre di essere d’accordo con me stesso prima di prendere in considerazione tutti gli altri</w:t>
      </w:r>
      <w:r>
        <w:rPr>
          <w:rFonts w:ascii="Garamond" w:hAnsi="Garamond"/>
          <w:sz w:val="24"/>
          <w:szCs w:val="24"/>
        </w:rPr>
        <w:t>»</w:t>
      </w:r>
      <w:r>
        <w:rPr>
          <w:rStyle w:val="FootnoteReference"/>
          <w:rFonts w:ascii="Garamond" w:hAnsi="Garamond"/>
          <w:sz w:val="24"/>
          <w:szCs w:val="24"/>
        </w:rPr>
        <w:footnoteReference w:id="11"/>
      </w:r>
      <w:r w:rsidR="00193F76">
        <w:rPr>
          <w:rFonts w:ascii="Garamond" w:hAnsi="Garamond"/>
          <w:sz w:val="24"/>
          <w:szCs w:val="24"/>
        </w:rPr>
        <w:t xml:space="preserve">. </w:t>
      </w:r>
    </w:p>
    <w:p w:rsidR="00AB66B0" w:rsidRDefault="00AB66B0" w:rsidP="00AB66B0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</w:p>
    <w:p w:rsidR="00AA3CE9" w:rsidRDefault="00FC6B1B" w:rsidP="00325B8F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È questo il senso autentico della solitudine. È il dialogo silenzioso fra me e </w:t>
      </w:r>
      <w:proofErr w:type="gramStart"/>
      <w:r>
        <w:rPr>
          <w:rFonts w:ascii="Garamond" w:hAnsi="Garamond"/>
          <w:sz w:val="24"/>
          <w:szCs w:val="24"/>
        </w:rPr>
        <w:t>me</w:t>
      </w:r>
      <w:proofErr w:type="gramEnd"/>
      <w:r>
        <w:rPr>
          <w:rFonts w:ascii="Garamond" w:hAnsi="Garamond"/>
          <w:sz w:val="24"/>
          <w:szCs w:val="24"/>
        </w:rPr>
        <w:t xml:space="preserve"> che stabilisco</w:t>
      </w:r>
      <w:r w:rsidR="00AA3CE9">
        <w:rPr>
          <w:rFonts w:ascii="Garamond" w:hAnsi="Garamond"/>
          <w:sz w:val="24"/>
          <w:szCs w:val="24"/>
        </w:rPr>
        <w:t xml:space="preserve"> là dove</w:t>
      </w:r>
      <w:r w:rsidR="00355513">
        <w:rPr>
          <w:rFonts w:ascii="Garamond" w:hAnsi="Garamond"/>
          <w:sz w:val="24"/>
          <w:szCs w:val="24"/>
        </w:rPr>
        <w:t>,</w:t>
      </w:r>
      <w:r w:rsidR="0006335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«pur da solo, io sono in compagnia di qualcuno (vale a dire di me stesso)»</w:t>
      </w:r>
      <w:r>
        <w:rPr>
          <w:rStyle w:val="FootnoteReference"/>
          <w:rFonts w:ascii="Garamond" w:hAnsi="Garamond"/>
          <w:sz w:val="24"/>
          <w:szCs w:val="24"/>
        </w:rPr>
        <w:footnoteReference w:id="12"/>
      </w:r>
      <w:r w:rsidR="0006335F">
        <w:rPr>
          <w:rFonts w:ascii="Garamond" w:hAnsi="Garamond"/>
          <w:sz w:val="24"/>
          <w:szCs w:val="24"/>
        </w:rPr>
        <w:t xml:space="preserve">. Si comprende </w:t>
      </w:r>
      <w:r w:rsidR="000309C3">
        <w:rPr>
          <w:rFonts w:ascii="Garamond" w:hAnsi="Garamond"/>
          <w:sz w:val="24"/>
          <w:szCs w:val="24"/>
        </w:rPr>
        <w:t xml:space="preserve">allora </w:t>
      </w:r>
      <w:r w:rsidR="0006335F">
        <w:rPr>
          <w:rFonts w:ascii="Garamond" w:hAnsi="Garamond"/>
          <w:sz w:val="24"/>
          <w:szCs w:val="24"/>
        </w:rPr>
        <w:t xml:space="preserve">l’importanza di questo dialogo interiore reso possibile dalla qualità di </w:t>
      </w:r>
      <w:proofErr w:type="spellStart"/>
      <w:proofErr w:type="gramStart"/>
      <w:r w:rsidR="0006335F">
        <w:rPr>
          <w:rFonts w:ascii="Garamond" w:hAnsi="Garamond"/>
          <w:sz w:val="24"/>
          <w:szCs w:val="24"/>
        </w:rPr>
        <w:t>due-in-uno</w:t>
      </w:r>
      <w:proofErr w:type="spellEnd"/>
      <w:proofErr w:type="gramEnd"/>
      <w:r w:rsidR="0006335F">
        <w:rPr>
          <w:rFonts w:ascii="Garamond" w:hAnsi="Garamond"/>
          <w:sz w:val="24"/>
          <w:szCs w:val="24"/>
        </w:rPr>
        <w:t xml:space="preserve"> del soggetto pensa</w:t>
      </w:r>
      <w:r w:rsidR="005457CC">
        <w:rPr>
          <w:rFonts w:ascii="Garamond" w:hAnsi="Garamond"/>
          <w:sz w:val="24"/>
          <w:szCs w:val="24"/>
        </w:rPr>
        <w:t xml:space="preserve">nte, </w:t>
      </w:r>
      <w:r w:rsidR="000309C3">
        <w:rPr>
          <w:rFonts w:ascii="Garamond" w:hAnsi="Garamond"/>
          <w:sz w:val="24"/>
          <w:szCs w:val="24"/>
        </w:rPr>
        <w:t>e il suo nesso con il male: s</w:t>
      </w:r>
      <w:r w:rsidR="00325B8F">
        <w:rPr>
          <w:rFonts w:ascii="Garamond" w:hAnsi="Garamond"/>
          <w:sz w:val="24"/>
          <w:szCs w:val="24"/>
        </w:rPr>
        <w:t xml:space="preserve">e viene meno l’individuazione, viene meno anche la possibilità </w:t>
      </w:r>
      <w:r w:rsidR="005457CC">
        <w:rPr>
          <w:rFonts w:ascii="Garamond" w:hAnsi="Garamond"/>
          <w:sz w:val="24"/>
          <w:szCs w:val="24"/>
        </w:rPr>
        <w:t xml:space="preserve">stessa del dialogo fra sé e sé, quindi di pensare. </w:t>
      </w:r>
    </w:p>
    <w:p w:rsidR="00FC6B1B" w:rsidRDefault="0006335F" w:rsidP="00325B8F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Ma</w:t>
      </w:r>
      <w:proofErr w:type="gramEnd"/>
      <w:r>
        <w:rPr>
          <w:rFonts w:ascii="Garamond" w:hAnsi="Garamond"/>
          <w:sz w:val="24"/>
          <w:szCs w:val="24"/>
        </w:rPr>
        <w:t xml:space="preserve"> perché il dialogo fra sé e sé dovrebbe premunire contro il male? </w:t>
      </w:r>
    </w:p>
    <w:p w:rsidR="00FC6B1B" w:rsidRDefault="00FC6B1B" w:rsidP="00AB66B0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</w:p>
    <w:p w:rsidR="007D3726" w:rsidRDefault="0006335F" w:rsidP="0006335F">
      <w:pPr>
        <w:spacing w:line="240" w:lineRule="auto"/>
        <w:ind w:left="284" w:right="566"/>
        <w:contextualSpacing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«</w:t>
      </w:r>
      <w:proofErr w:type="gramEnd"/>
      <w:r w:rsidR="007D3726">
        <w:rPr>
          <w:rFonts w:ascii="Garamond" w:hAnsi="Garamond"/>
          <w:sz w:val="24"/>
          <w:szCs w:val="24"/>
        </w:rPr>
        <w:t xml:space="preserve">La morale concerne l’individuo nella sua singolarità. Il criterio del giusto e dell’ingiusto, la risposta alla domanda ‘cosa devo fare?’ non dipende in sostanza dagli usi e costumi che io mi trovo a condividere con chi mi vive accanto, né da un comando di origine divina o umana – dipende </w:t>
      </w:r>
      <w:r w:rsidR="00FC6B1B">
        <w:rPr>
          <w:rFonts w:ascii="Garamond" w:hAnsi="Garamond"/>
          <w:sz w:val="24"/>
          <w:szCs w:val="24"/>
        </w:rPr>
        <w:t>solo da ciò che io decido di fa</w:t>
      </w:r>
      <w:r w:rsidR="007D3726">
        <w:rPr>
          <w:rFonts w:ascii="Garamond" w:hAnsi="Garamond"/>
          <w:sz w:val="24"/>
          <w:szCs w:val="24"/>
        </w:rPr>
        <w:t xml:space="preserve">re guardando a me stesso. </w:t>
      </w:r>
      <w:r w:rsidR="007D3726" w:rsidRPr="00355513">
        <w:rPr>
          <w:rFonts w:ascii="Garamond" w:hAnsi="Garamond"/>
          <w:sz w:val="24"/>
          <w:szCs w:val="24"/>
        </w:rPr>
        <w:t>In altre parole,</w:t>
      </w:r>
      <w:r w:rsidR="007D3726" w:rsidRPr="005841EB">
        <w:rPr>
          <w:rFonts w:ascii="Garamond" w:hAnsi="Garamond"/>
          <w:i/>
          <w:sz w:val="24"/>
          <w:szCs w:val="24"/>
        </w:rPr>
        <w:t xml:space="preserve"> io non posso fare certe cose, perché </w:t>
      </w:r>
      <w:proofErr w:type="gramStart"/>
      <w:r w:rsidR="007D3726" w:rsidRPr="005841EB">
        <w:rPr>
          <w:rFonts w:ascii="Garamond" w:hAnsi="Garamond"/>
          <w:i/>
          <w:sz w:val="24"/>
          <w:szCs w:val="24"/>
        </w:rPr>
        <w:t>facendole</w:t>
      </w:r>
      <w:proofErr w:type="gramEnd"/>
      <w:r w:rsidR="007D3726" w:rsidRPr="005841EB">
        <w:rPr>
          <w:rFonts w:ascii="Garamond" w:hAnsi="Garamond"/>
          <w:i/>
          <w:sz w:val="24"/>
          <w:szCs w:val="24"/>
        </w:rPr>
        <w:t xml:space="preserve"> so che non potrei più vivere con me stesso</w:t>
      </w:r>
      <w:r w:rsidR="007D3726">
        <w:rPr>
          <w:rFonts w:ascii="Garamond" w:hAnsi="Garamond"/>
          <w:sz w:val="24"/>
          <w:szCs w:val="24"/>
        </w:rPr>
        <w:t xml:space="preserve">. Questo </w:t>
      </w:r>
      <w:proofErr w:type="spellStart"/>
      <w:proofErr w:type="gramStart"/>
      <w:r w:rsidR="007D3726">
        <w:rPr>
          <w:rFonts w:ascii="Garamond" w:hAnsi="Garamond"/>
          <w:sz w:val="24"/>
          <w:szCs w:val="24"/>
        </w:rPr>
        <w:t>vivere-con-se-stessi</w:t>
      </w:r>
      <w:proofErr w:type="spellEnd"/>
      <w:proofErr w:type="gramEnd"/>
      <w:r w:rsidR="007D3726">
        <w:rPr>
          <w:rFonts w:ascii="Garamond" w:hAnsi="Garamond"/>
          <w:sz w:val="24"/>
          <w:szCs w:val="24"/>
        </w:rPr>
        <w:t xml:space="preserve"> è qualcosa di più della coscienza o dell’autocoscienza che se</w:t>
      </w:r>
      <w:r w:rsidR="005841EB">
        <w:rPr>
          <w:rFonts w:ascii="Garamond" w:hAnsi="Garamond"/>
          <w:sz w:val="24"/>
          <w:szCs w:val="24"/>
        </w:rPr>
        <w:t>mpre mi accompagna nel fare cert</w:t>
      </w:r>
      <w:r w:rsidR="007D3726">
        <w:rPr>
          <w:rFonts w:ascii="Garamond" w:hAnsi="Garamond"/>
          <w:sz w:val="24"/>
          <w:szCs w:val="24"/>
        </w:rPr>
        <w:t xml:space="preserve">e cose e nel dire che le sto facendo. Essere con se stessi e giudicare se stessi è qualcosa che concerne il pensiero, e ogni processo di pensiero è un’attività in cui io parlo con me </w:t>
      </w:r>
      <w:proofErr w:type="gramStart"/>
      <w:r w:rsidR="007D3726">
        <w:rPr>
          <w:rFonts w:ascii="Garamond" w:hAnsi="Garamond"/>
          <w:sz w:val="24"/>
          <w:szCs w:val="24"/>
        </w:rPr>
        <w:t>stesso</w:t>
      </w:r>
      <w:proofErr w:type="gramEnd"/>
      <w:r w:rsidR="007D3726">
        <w:rPr>
          <w:rFonts w:ascii="Garamond" w:hAnsi="Garamond"/>
          <w:sz w:val="24"/>
          <w:szCs w:val="24"/>
        </w:rPr>
        <w:t xml:space="preserve"> di tutto quanto accade e mi riguarda. Il modo d’esistere tipico di questo dialogo silenzioso tra me e me lo chiamerò adesso </w:t>
      </w:r>
      <w:r w:rsidR="007D3726" w:rsidRPr="007D3726">
        <w:rPr>
          <w:rFonts w:ascii="Garamond" w:hAnsi="Garamond"/>
          <w:i/>
          <w:sz w:val="24"/>
          <w:szCs w:val="24"/>
        </w:rPr>
        <w:t>solitudine</w:t>
      </w:r>
      <w:r w:rsidR="007D3726">
        <w:rPr>
          <w:rFonts w:ascii="Garamond" w:hAnsi="Garamond"/>
          <w:sz w:val="24"/>
          <w:szCs w:val="24"/>
        </w:rPr>
        <w:t>. Ciò significa che la solitudine è qualcosa di diverso dal semplice stare da soli, e soprattutto è qualcosa di diverso dall’isolamento</w:t>
      </w:r>
      <w:proofErr w:type="gramStart"/>
      <w:r>
        <w:rPr>
          <w:rFonts w:ascii="Garamond" w:hAnsi="Garamond"/>
          <w:sz w:val="24"/>
          <w:szCs w:val="24"/>
        </w:rPr>
        <w:t>»</w:t>
      </w:r>
      <w:proofErr w:type="gramEnd"/>
      <w:r>
        <w:rPr>
          <w:rStyle w:val="FootnoteReference"/>
          <w:rFonts w:ascii="Garamond" w:hAnsi="Garamond"/>
          <w:sz w:val="24"/>
          <w:szCs w:val="24"/>
        </w:rPr>
        <w:footnoteReference w:id="13"/>
      </w:r>
      <w:r w:rsidR="007D3726">
        <w:rPr>
          <w:rFonts w:ascii="Garamond" w:hAnsi="Garamond"/>
          <w:sz w:val="24"/>
          <w:szCs w:val="24"/>
        </w:rPr>
        <w:t xml:space="preserve">. </w:t>
      </w:r>
    </w:p>
    <w:p w:rsidR="0006335F" w:rsidRDefault="0006335F" w:rsidP="00284637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</w:p>
    <w:p w:rsidR="005841EB" w:rsidRDefault="005457CC" w:rsidP="00284637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Non basta pensare </w:t>
      </w:r>
      <w:r w:rsidRPr="005457CC">
        <w:rPr>
          <w:rFonts w:ascii="Garamond" w:hAnsi="Garamond"/>
          <w:i/>
          <w:sz w:val="24"/>
          <w:szCs w:val="24"/>
        </w:rPr>
        <w:t>tout court</w:t>
      </w:r>
      <w:r>
        <w:rPr>
          <w:rFonts w:ascii="Garamond" w:hAnsi="Garamond"/>
          <w:sz w:val="24"/>
          <w:szCs w:val="24"/>
        </w:rPr>
        <w:t xml:space="preserve">: è necessario quel tipo di pensiero che renderebbe impossibile all’individuo che ha commesso il male – inteso genericamente nell’accezione di cui sopra, come sofferenza evitabile – di convivere con se stesso pensando. </w:t>
      </w:r>
      <w:r w:rsidR="005841EB">
        <w:rPr>
          <w:rFonts w:ascii="Garamond" w:hAnsi="Garamond"/>
          <w:sz w:val="24"/>
          <w:szCs w:val="24"/>
        </w:rPr>
        <w:t xml:space="preserve">In un altro luogo dello stesso saggio troviamo delle specificazioni sul carattere </w:t>
      </w:r>
      <w:r w:rsidR="000309C3">
        <w:rPr>
          <w:rFonts w:ascii="Garamond" w:hAnsi="Garamond"/>
          <w:sz w:val="24"/>
          <w:szCs w:val="24"/>
        </w:rPr>
        <w:t>del</w:t>
      </w:r>
      <w:r w:rsidR="005841EB">
        <w:rPr>
          <w:rFonts w:ascii="Garamond" w:hAnsi="Garamond"/>
          <w:sz w:val="24"/>
          <w:szCs w:val="24"/>
        </w:rPr>
        <w:t xml:space="preserve"> pensiero come qualità dell’</w:t>
      </w:r>
      <w:proofErr w:type="gramStart"/>
      <w:r w:rsidR="005841EB">
        <w:rPr>
          <w:rFonts w:ascii="Garamond" w:hAnsi="Garamond"/>
          <w:sz w:val="24"/>
          <w:szCs w:val="24"/>
        </w:rPr>
        <w:t>io</w:t>
      </w:r>
      <w:proofErr w:type="gramEnd"/>
      <w:r w:rsidR="005841EB">
        <w:rPr>
          <w:rFonts w:ascii="Garamond" w:hAnsi="Garamond"/>
          <w:sz w:val="24"/>
          <w:szCs w:val="24"/>
        </w:rPr>
        <w:t xml:space="preserve"> che premunisce dal male:</w:t>
      </w:r>
    </w:p>
    <w:p w:rsidR="005841EB" w:rsidRDefault="005841EB" w:rsidP="00284637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</w:p>
    <w:p w:rsidR="00AE1A6F" w:rsidRDefault="005841EB" w:rsidP="00AF1DE2">
      <w:pPr>
        <w:spacing w:line="240" w:lineRule="auto"/>
        <w:ind w:left="284" w:right="566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«</w:t>
      </w:r>
      <w:r w:rsidR="00AE1A6F">
        <w:rPr>
          <w:rFonts w:ascii="Garamond" w:hAnsi="Garamond"/>
          <w:sz w:val="24"/>
          <w:szCs w:val="24"/>
        </w:rPr>
        <w:t xml:space="preserve">Se si tratta di un essere pensante, radicato nei suoi pensieri e nei suoi ricordi di qualcuno cioè che sa di dover vivere con se stesso, ci saranno limiti a ciò che si permetterà di fare, e tali limiti non gli </w:t>
      </w:r>
      <w:proofErr w:type="gramStart"/>
      <w:r w:rsidR="00AE1A6F">
        <w:rPr>
          <w:rFonts w:ascii="Garamond" w:hAnsi="Garamond"/>
          <w:sz w:val="24"/>
          <w:szCs w:val="24"/>
        </w:rPr>
        <w:t>verranno</w:t>
      </w:r>
      <w:proofErr w:type="gramEnd"/>
      <w:r w:rsidR="00AE1A6F">
        <w:rPr>
          <w:rFonts w:ascii="Garamond" w:hAnsi="Garamond"/>
          <w:sz w:val="24"/>
          <w:szCs w:val="24"/>
        </w:rPr>
        <w:t xml:space="preserve"> imposti dall’esterno, ma dal suo stesso io. Questi limiti posson</w:t>
      </w:r>
      <w:r w:rsidR="00AF1DE2">
        <w:rPr>
          <w:rFonts w:ascii="Garamond" w:hAnsi="Garamond"/>
          <w:sz w:val="24"/>
          <w:szCs w:val="24"/>
        </w:rPr>
        <w:t xml:space="preserve">o cambiare considerevolmente da </w:t>
      </w:r>
      <w:r w:rsidR="00AE1A6F">
        <w:rPr>
          <w:rFonts w:ascii="Garamond" w:hAnsi="Garamond"/>
          <w:sz w:val="24"/>
          <w:szCs w:val="24"/>
        </w:rPr>
        <w:t>persona a persona, da Paese a Paese, di secolo in secolo; ma il male estremo e senza limiti è possibile solo quando queste radici dell’</w:t>
      </w:r>
      <w:r w:rsidR="00AF1DE2">
        <w:rPr>
          <w:rFonts w:ascii="Garamond" w:hAnsi="Garamond"/>
          <w:sz w:val="24"/>
          <w:szCs w:val="24"/>
        </w:rPr>
        <w:t>io</w:t>
      </w:r>
      <w:r w:rsidR="00AE1A6F">
        <w:rPr>
          <w:rFonts w:ascii="Garamond" w:hAnsi="Garamond"/>
          <w:sz w:val="24"/>
          <w:szCs w:val="24"/>
        </w:rPr>
        <w:t xml:space="preserve"> sono del tutto assenti. </w:t>
      </w:r>
      <w:proofErr w:type="gramStart"/>
      <w:r w:rsidR="00AE1A6F">
        <w:rPr>
          <w:rFonts w:ascii="Garamond" w:hAnsi="Garamond"/>
          <w:sz w:val="24"/>
          <w:szCs w:val="24"/>
        </w:rPr>
        <w:t>[…</w:t>
      </w:r>
      <w:proofErr w:type="gramEnd"/>
      <w:r w:rsidR="00AE1A6F">
        <w:rPr>
          <w:rFonts w:ascii="Garamond" w:hAnsi="Garamond"/>
          <w:sz w:val="24"/>
          <w:szCs w:val="24"/>
        </w:rPr>
        <w:t xml:space="preserve">] Socrate credeva che insegnando alla gente </w:t>
      </w:r>
      <w:r w:rsidR="00AE1A6F" w:rsidRPr="00AF1DE2">
        <w:rPr>
          <w:rFonts w:ascii="Garamond" w:hAnsi="Garamond"/>
          <w:i/>
          <w:sz w:val="24"/>
          <w:szCs w:val="24"/>
        </w:rPr>
        <w:t>come</w:t>
      </w:r>
      <w:r w:rsidR="00AE1A6F">
        <w:rPr>
          <w:rFonts w:ascii="Garamond" w:hAnsi="Garamond"/>
          <w:sz w:val="24"/>
          <w:szCs w:val="24"/>
        </w:rPr>
        <w:t xml:space="preserve"> pensare, come parlare con se stessi […] avrebbe migliorato i suoi concittadini. Ma se muovendo da questa premessa avessimo oggi la possibilità di chiedergli qual è allora la sanzione per quell’oscuro crimine che </w:t>
      </w:r>
      <w:proofErr w:type="gramStart"/>
      <w:r w:rsidR="00AE1A6F">
        <w:rPr>
          <w:rFonts w:ascii="Garamond" w:hAnsi="Garamond"/>
          <w:sz w:val="24"/>
          <w:szCs w:val="24"/>
        </w:rPr>
        <w:t>viene</w:t>
      </w:r>
      <w:proofErr w:type="gramEnd"/>
      <w:r w:rsidR="00AE1A6F">
        <w:rPr>
          <w:rFonts w:ascii="Garamond" w:hAnsi="Garamond"/>
          <w:sz w:val="24"/>
          <w:szCs w:val="24"/>
        </w:rPr>
        <w:t xml:space="preserve"> tenuto nascosto agli occhi degli uomini e degli dei, egli potrebbe rispondere soltanto: la perdita di questa capacità, la perdita della solitudine </w:t>
      </w:r>
      <w:r w:rsidR="00325B8F">
        <w:rPr>
          <w:rFonts w:ascii="Garamond" w:hAnsi="Garamond"/>
          <w:sz w:val="24"/>
          <w:szCs w:val="24"/>
        </w:rPr>
        <w:t xml:space="preserve">[…]. </w:t>
      </w:r>
      <w:r w:rsidR="00AE1A6F">
        <w:rPr>
          <w:rFonts w:ascii="Garamond" w:hAnsi="Garamond"/>
          <w:sz w:val="24"/>
          <w:szCs w:val="24"/>
        </w:rPr>
        <w:t>In altre parole, la perdita dell’</w:t>
      </w:r>
      <w:proofErr w:type="gramStart"/>
      <w:r w:rsidR="00AE1A6F">
        <w:rPr>
          <w:rFonts w:ascii="Garamond" w:hAnsi="Garamond"/>
          <w:sz w:val="24"/>
          <w:szCs w:val="24"/>
        </w:rPr>
        <w:t>io</w:t>
      </w:r>
      <w:proofErr w:type="gramEnd"/>
      <w:r w:rsidR="00AE1A6F">
        <w:rPr>
          <w:rFonts w:ascii="Garamond" w:hAnsi="Garamond"/>
          <w:sz w:val="24"/>
          <w:szCs w:val="24"/>
        </w:rPr>
        <w:t xml:space="preserve"> che costituisce la persona</w:t>
      </w:r>
      <w:r>
        <w:rPr>
          <w:rFonts w:ascii="Garamond" w:hAnsi="Garamond"/>
          <w:sz w:val="24"/>
          <w:szCs w:val="24"/>
        </w:rPr>
        <w:t>»</w:t>
      </w:r>
      <w:r>
        <w:rPr>
          <w:rStyle w:val="FootnoteReference"/>
          <w:rFonts w:ascii="Garamond" w:hAnsi="Garamond"/>
          <w:sz w:val="24"/>
          <w:szCs w:val="24"/>
        </w:rPr>
        <w:footnoteReference w:id="14"/>
      </w:r>
      <w:r w:rsidR="00AE1A6F">
        <w:rPr>
          <w:rFonts w:ascii="Garamond" w:hAnsi="Garamond"/>
          <w:sz w:val="24"/>
          <w:szCs w:val="24"/>
        </w:rPr>
        <w:t xml:space="preserve">. </w:t>
      </w:r>
    </w:p>
    <w:p w:rsidR="00AF1DE2" w:rsidRDefault="00AF1DE2" w:rsidP="00AF1DE2">
      <w:pPr>
        <w:spacing w:line="240" w:lineRule="auto"/>
        <w:ind w:left="284" w:right="566"/>
        <w:contextualSpacing/>
        <w:jc w:val="both"/>
        <w:rPr>
          <w:rFonts w:ascii="Garamond" w:hAnsi="Garamond"/>
          <w:sz w:val="24"/>
          <w:szCs w:val="24"/>
        </w:rPr>
      </w:pPr>
    </w:p>
    <w:p w:rsidR="00F519B7" w:rsidRDefault="00355513" w:rsidP="00AA3CE9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1D6D88">
        <w:rPr>
          <w:rFonts w:ascii="Garamond" w:hAnsi="Garamond"/>
          <w:sz w:val="24"/>
          <w:szCs w:val="24"/>
        </w:rPr>
        <w:t>l venir meno dell’</w:t>
      </w:r>
      <w:proofErr w:type="gramStart"/>
      <w:r w:rsidR="001D6D88">
        <w:rPr>
          <w:rFonts w:ascii="Garamond" w:hAnsi="Garamond"/>
          <w:sz w:val="24"/>
          <w:szCs w:val="24"/>
        </w:rPr>
        <w:t>io</w:t>
      </w:r>
      <w:proofErr w:type="gramEnd"/>
      <w:r w:rsidR="001D6D88">
        <w:rPr>
          <w:rFonts w:ascii="Garamond" w:hAnsi="Garamond"/>
          <w:sz w:val="24"/>
          <w:szCs w:val="24"/>
        </w:rPr>
        <w:t xml:space="preserve">, il </w:t>
      </w:r>
      <w:r>
        <w:rPr>
          <w:rFonts w:ascii="Garamond" w:hAnsi="Garamond"/>
          <w:sz w:val="24"/>
          <w:szCs w:val="24"/>
        </w:rPr>
        <w:t>“</w:t>
      </w:r>
      <w:r w:rsidR="001D6D88">
        <w:rPr>
          <w:rFonts w:ascii="Garamond" w:hAnsi="Garamond"/>
          <w:sz w:val="24"/>
          <w:szCs w:val="24"/>
        </w:rPr>
        <w:t>regime di nessuno</w:t>
      </w:r>
      <w:r>
        <w:rPr>
          <w:rFonts w:ascii="Garamond" w:hAnsi="Garamond"/>
          <w:sz w:val="24"/>
          <w:szCs w:val="24"/>
        </w:rPr>
        <w:t>”</w:t>
      </w:r>
      <w:r w:rsidR="00253881">
        <w:rPr>
          <w:rFonts w:ascii="Garamond" w:hAnsi="Garamond"/>
          <w:sz w:val="24"/>
          <w:szCs w:val="24"/>
        </w:rPr>
        <w:t xml:space="preserve"> è compatibile con il male</w:t>
      </w:r>
      <w:r w:rsidR="001D6D88">
        <w:rPr>
          <w:rFonts w:ascii="Garamond" w:hAnsi="Garamond"/>
          <w:sz w:val="24"/>
          <w:szCs w:val="24"/>
        </w:rPr>
        <w:t xml:space="preserve"> e probabilmente</w:t>
      </w:r>
      <w:r w:rsidR="005457CC">
        <w:rPr>
          <w:rFonts w:ascii="Garamond" w:hAnsi="Garamond"/>
          <w:sz w:val="24"/>
          <w:szCs w:val="24"/>
        </w:rPr>
        <w:t xml:space="preserve"> in qualche senso</w:t>
      </w:r>
      <w:r w:rsidR="001D6D88">
        <w:rPr>
          <w:rFonts w:ascii="Garamond" w:hAnsi="Garamond"/>
          <w:sz w:val="24"/>
          <w:szCs w:val="24"/>
        </w:rPr>
        <w:t xml:space="preserve"> lo suscita, perché determina il venir meno della qualità pensante dell’io stesso, cioè della possibi</w:t>
      </w:r>
      <w:r>
        <w:rPr>
          <w:rFonts w:ascii="Garamond" w:hAnsi="Garamond"/>
          <w:sz w:val="24"/>
          <w:szCs w:val="24"/>
        </w:rPr>
        <w:t xml:space="preserve">lità del dialogo fra sé e sé cui si devono </w:t>
      </w:r>
      <w:r w:rsidR="001D6D88">
        <w:rPr>
          <w:rFonts w:ascii="Garamond" w:hAnsi="Garamond"/>
          <w:sz w:val="24"/>
          <w:szCs w:val="24"/>
        </w:rPr>
        <w:t>i limiti</w:t>
      </w:r>
      <w:r>
        <w:rPr>
          <w:rFonts w:ascii="Garamond" w:hAnsi="Garamond"/>
          <w:sz w:val="24"/>
          <w:szCs w:val="24"/>
        </w:rPr>
        <w:t xml:space="preserve"> </w:t>
      </w:r>
      <w:r w:rsidR="005457CC">
        <w:rPr>
          <w:rFonts w:ascii="Garamond" w:hAnsi="Garamond"/>
          <w:sz w:val="24"/>
          <w:szCs w:val="24"/>
        </w:rPr>
        <w:t>a</w:t>
      </w:r>
      <w:r w:rsidR="00325B8F">
        <w:rPr>
          <w:rFonts w:ascii="Garamond" w:hAnsi="Garamond"/>
          <w:sz w:val="24"/>
          <w:szCs w:val="24"/>
        </w:rPr>
        <w:t>lla possibilità di vivere con se stessi</w:t>
      </w:r>
      <w:r w:rsidR="00BE53C3">
        <w:rPr>
          <w:rFonts w:ascii="Garamond" w:hAnsi="Garamond"/>
          <w:sz w:val="24"/>
          <w:szCs w:val="24"/>
        </w:rPr>
        <w:t xml:space="preserve"> in caso di compimento del male</w:t>
      </w:r>
      <w:r w:rsidR="00325B8F">
        <w:rPr>
          <w:rFonts w:ascii="Garamond" w:hAnsi="Garamond"/>
          <w:sz w:val="24"/>
          <w:szCs w:val="24"/>
        </w:rPr>
        <w:t xml:space="preserve">. </w:t>
      </w:r>
      <w:r w:rsidR="00F519B7">
        <w:rPr>
          <w:rFonts w:ascii="Garamond" w:hAnsi="Garamond"/>
          <w:sz w:val="24"/>
          <w:szCs w:val="24"/>
        </w:rPr>
        <w:t xml:space="preserve">Se </w:t>
      </w:r>
      <w:proofErr w:type="gramStart"/>
      <w:r w:rsidR="00F519B7" w:rsidRPr="00F869C3">
        <w:rPr>
          <w:rFonts w:ascii="Garamond" w:hAnsi="Garamond"/>
          <w:sz w:val="24"/>
          <w:szCs w:val="24"/>
        </w:rPr>
        <w:t>«</w:t>
      </w:r>
      <w:proofErr w:type="gramEnd"/>
      <w:r w:rsidR="00F519B7" w:rsidRPr="00F869C3">
        <w:rPr>
          <w:rFonts w:ascii="Garamond" w:hAnsi="Garamond"/>
          <w:sz w:val="24"/>
          <w:szCs w:val="24"/>
        </w:rPr>
        <w:t>il peggior male è quello commesso da nessuno, cioè da esseri umani che si rifiutano di essere persone»</w:t>
      </w:r>
      <w:r w:rsidR="00F519B7" w:rsidRPr="00F869C3">
        <w:rPr>
          <w:rStyle w:val="FootnoteReference"/>
          <w:rFonts w:ascii="Garamond" w:hAnsi="Garamond"/>
        </w:rPr>
        <w:footnoteReference w:id="15"/>
      </w:r>
      <w:proofErr w:type="gramStart"/>
      <w:r w:rsidR="00F519B7">
        <w:rPr>
          <w:rFonts w:ascii="Garamond" w:hAnsi="Garamond"/>
          <w:sz w:val="24"/>
          <w:szCs w:val="24"/>
        </w:rPr>
        <w:t xml:space="preserve">, </w:t>
      </w:r>
      <w:proofErr w:type="gramEnd"/>
      <w:r w:rsidR="00F519B7">
        <w:rPr>
          <w:rFonts w:ascii="Garamond" w:hAnsi="Garamond"/>
          <w:sz w:val="24"/>
          <w:szCs w:val="24"/>
        </w:rPr>
        <w:t xml:space="preserve">allora la </w:t>
      </w:r>
      <w:proofErr w:type="spellStart"/>
      <w:r w:rsidR="00F519B7">
        <w:rPr>
          <w:rFonts w:ascii="Garamond" w:hAnsi="Garamond"/>
          <w:sz w:val="24"/>
          <w:szCs w:val="24"/>
        </w:rPr>
        <w:t>desoggettivazione</w:t>
      </w:r>
      <w:proofErr w:type="spellEnd"/>
      <w:r w:rsidR="00F519B7">
        <w:rPr>
          <w:rFonts w:ascii="Garamond" w:hAnsi="Garamond"/>
          <w:sz w:val="24"/>
          <w:szCs w:val="24"/>
        </w:rPr>
        <w:t xml:space="preserve"> costituisce elemento caratteristico del male</w:t>
      </w:r>
      <w:r w:rsidR="00F519B7">
        <w:rPr>
          <w:rStyle w:val="FootnoteReference"/>
          <w:rFonts w:ascii="Garamond" w:hAnsi="Garamond"/>
          <w:sz w:val="24"/>
          <w:szCs w:val="24"/>
        </w:rPr>
        <w:footnoteReference w:id="16"/>
      </w:r>
      <w:r w:rsidR="00F519B7">
        <w:rPr>
          <w:rFonts w:ascii="Garamond" w:hAnsi="Garamond"/>
          <w:sz w:val="24"/>
          <w:szCs w:val="24"/>
        </w:rPr>
        <w:t xml:space="preserve">, cui fa da contraltare la soggettivazione connaturata al diritto e alla morale.  </w:t>
      </w:r>
    </w:p>
    <w:p w:rsidR="00253881" w:rsidRDefault="00253881" w:rsidP="00AA3CE9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Parlando di Eichmann, </w:t>
      </w:r>
      <w:proofErr w:type="spellStart"/>
      <w:r>
        <w:rPr>
          <w:rFonts w:ascii="Garamond" w:hAnsi="Garamond"/>
          <w:sz w:val="24"/>
          <w:szCs w:val="24"/>
        </w:rPr>
        <w:t>Arendt</w:t>
      </w:r>
      <w:proofErr w:type="spellEnd"/>
      <w:r>
        <w:rPr>
          <w:rFonts w:ascii="Garamond" w:hAnsi="Garamond"/>
          <w:sz w:val="24"/>
          <w:szCs w:val="24"/>
        </w:rPr>
        <w:t xml:space="preserve"> osserva che </w:t>
      </w:r>
      <w:proofErr w:type="gramStart"/>
      <w:r>
        <w:rPr>
          <w:rFonts w:ascii="Garamond" w:hAnsi="Garamond"/>
          <w:sz w:val="24"/>
          <w:szCs w:val="24"/>
        </w:rPr>
        <w:t>«</w:t>
      </w:r>
      <w:proofErr w:type="gramEnd"/>
      <w:r>
        <w:rPr>
          <w:rFonts w:ascii="Garamond" w:hAnsi="Garamond"/>
          <w:sz w:val="24"/>
          <w:szCs w:val="24"/>
        </w:rPr>
        <w:t>non si trattava tanto di stupidità, quanto di un’autentica incapacità di pensare»</w:t>
      </w:r>
      <w:r>
        <w:rPr>
          <w:rStyle w:val="FootnoteReference"/>
          <w:rFonts w:ascii="Garamond" w:hAnsi="Garamond"/>
          <w:sz w:val="24"/>
          <w:szCs w:val="24"/>
        </w:rPr>
        <w:footnoteReference w:id="17"/>
      </w:r>
      <w:r>
        <w:rPr>
          <w:rFonts w:ascii="Garamond" w:hAnsi="Garamond"/>
          <w:sz w:val="24"/>
          <w:szCs w:val="24"/>
        </w:rPr>
        <w:t>.</w:t>
      </w:r>
      <w:r w:rsidR="000309C3">
        <w:rPr>
          <w:rFonts w:ascii="Garamond" w:hAnsi="Garamond"/>
          <w:sz w:val="24"/>
          <w:szCs w:val="24"/>
        </w:rPr>
        <w:t xml:space="preserve"> Il processo di Norimberga è in tal senso </w:t>
      </w:r>
      <w:proofErr w:type="gramStart"/>
      <w:r w:rsidR="000309C3">
        <w:rPr>
          <w:rFonts w:ascii="Garamond" w:hAnsi="Garamond"/>
          <w:sz w:val="24"/>
          <w:szCs w:val="24"/>
        </w:rPr>
        <w:t>emblematico</w:t>
      </w:r>
      <w:proofErr w:type="gramEnd"/>
      <w:r w:rsidR="000309C3">
        <w:rPr>
          <w:rFonts w:ascii="Garamond" w:hAnsi="Garamond"/>
          <w:sz w:val="24"/>
          <w:szCs w:val="24"/>
        </w:rPr>
        <w:t xml:space="preserve">, poiché gran parte degli imputati ha giustificato le proprie azioni delittuose in seno al nazismo con l’argomento di essere meri ingranaggi di un macchina più grande, di </w:t>
      </w:r>
      <w:r w:rsidR="00AA3CE9">
        <w:rPr>
          <w:rFonts w:ascii="Garamond" w:hAnsi="Garamond"/>
          <w:sz w:val="24"/>
          <w:szCs w:val="24"/>
        </w:rPr>
        <w:t>essersi limitati</w:t>
      </w:r>
      <w:r w:rsidR="000309C3">
        <w:rPr>
          <w:rFonts w:ascii="Garamond" w:hAnsi="Garamond"/>
          <w:sz w:val="24"/>
          <w:szCs w:val="24"/>
        </w:rPr>
        <w:t xml:space="preserve"> a obbedire a ordini di altri: di nuovo, tentando di sgravare il carico </w:t>
      </w:r>
      <w:r w:rsidR="00AA3CE9">
        <w:rPr>
          <w:rFonts w:ascii="Garamond" w:hAnsi="Garamond"/>
          <w:sz w:val="24"/>
          <w:szCs w:val="24"/>
        </w:rPr>
        <w:t xml:space="preserve">individuale </w:t>
      </w:r>
      <w:r w:rsidR="000309C3">
        <w:rPr>
          <w:rFonts w:ascii="Garamond" w:hAnsi="Garamond"/>
          <w:sz w:val="24"/>
          <w:szCs w:val="24"/>
        </w:rPr>
        <w:t xml:space="preserve">della responsabilità, </w:t>
      </w:r>
      <w:r w:rsidR="005457CC">
        <w:rPr>
          <w:rFonts w:ascii="Garamond" w:hAnsi="Garamond"/>
          <w:sz w:val="24"/>
          <w:szCs w:val="24"/>
        </w:rPr>
        <w:t>assimilandosi a un informe collettivo,</w:t>
      </w:r>
      <w:r w:rsidR="00C32C6F">
        <w:rPr>
          <w:rFonts w:ascii="Garamond" w:hAnsi="Garamond"/>
          <w:sz w:val="24"/>
          <w:szCs w:val="24"/>
        </w:rPr>
        <w:t xml:space="preserve"> </w:t>
      </w:r>
      <w:proofErr w:type="spellStart"/>
      <w:r w:rsidR="00C32C6F">
        <w:rPr>
          <w:rFonts w:ascii="Garamond" w:hAnsi="Garamond"/>
          <w:sz w:val="24"/>
          <w:szCs w:val="24"/>
        </w:rPr>
        <w:t>descivendo</w:t>
      </w:r>
      <w:proofErr w:type="spellEnd"/>
      <w:r w:rsidR="00C32C6F">
        <w:rPr>
          <w:rFonts w:ascii="Garamond" w:hAnsi="Garamond"/>
          <w:sz w:val="24"/>
          <w:szCs w:val="24"/>
        </w:rPr>
        <w:t xml:space="preserve"> la titolarità delle azioni in termini di gruppo,</w:t>
      </w:r>
      <w:r w:rsidR="005457CC">
        <w:rPr>
          <w:rFonts w:ascii="Garamond" w:hAnsi="Garamond"/>
          <w:sz w:val="24"/>
          <w:szCs w:val="24"/>
        </w:rPr>
        <w:t xml:space="preserve"> </w:t>
      </w:r>
      <w:r w:rsidR="000309C3">
        <w:rPr>
          <w:rFonts w:ascii="Garamond" w:hAnsi="Garamond"/>
          <w:sz w:val="24"/>
          <w:szCs w:val="24"/>
        </w:rPr>
        <w:t xml:space="preserve">vale a dire </w:t>
      </w:r>
      <w:proofErr w:type="spellStart"/>
      <w:r w:rsidR="000309C3" w:rsidRPr="000309C3">
        <w:rPr>
          <w:rFonts w:ascii="Garamond" w:hAnsi="Garamond"/>
          <w:i/>
          <w:sz w:val="24"/>
          <w:szCs w:val="24"/>
        </w:rPr>
        <w:t>desoggettivando</w:t>
      </w:r>
      <w:proofErr w:type="spellEnd"/>
      <w:r w:rsidR="000309C3" w:rsidRPr="000309C3">
        <w:rPr>
          <w:rFonts w:ascii="Garamond" w:hAnsi="Garamond"/>
          <w:i/>
          <w:sz w:val="24"/>
          <w:szCs w:val="24"/>
        </w:rPr>
        <w:t xml:space="preserve"> la responsabilità</w:t>
      </w:r>
      <w:r w:rsidR="00AA3CE9">
        <w:rPr>
          <w:rFonts w:ascii="Garamond" w:hAnsi="Garamond"/>
          <w:sz w:val="24"/>
          <w:szCs w:val="24"/>
        </w:rPr>
        <w:t xml:space="preserve">. La prospettiva del diritto, che assume </w:t>
      </w:r>
      <w:r w:rsidR="005457CC">
        <w:rPr>
          <w:rFonts w:ascii="Garamond" w:hAnsi="Garamond"/>
          <w:sz w:val="24"/>
          <w:szCs w:val="24"/>
        </w:rPr>
        <w:t xml:space="preserve">il singolo individuo </w:t>
      </w:r>
      <w:r w:rsidR="00AA3CE9">
        <w:rPr>
          <w:rFonts w:ascii="Garamond" w:hAnsi="Garamond"/>
          <w:sz w:val="24"/>
          <w:szCs w:val="24"/>
        </w:rPr>
        <w:t xml:space="preserve">come riferimento universale, </w:t>
      </w:r>
      <w:r w:rsidR="00F519B7">
        <w:rPr>
          <w:rFonts w:ascii="Garamond" w:hAnsi="Garamond"/>
          <w:sz w:val="24"/>
          <w:szCs w:val="24"/>
        </w:rPr>
        <w:t xml:space="preserve">pone </w:t>
      </w:r>
      <w:r w:rsidR="00AA3CE9">
        <w:rPr>
          <w:rFonts w:ascii="Garamond" w:hAnsi="Garamond"/>
          <w:sz w:val="24"/>
          <w:szCs w:val="24"/>
        </w:rPr>
        <w:t xml:space="preserve">allora </w:t>
      </w:r>
      <w:r w:rsidR="00F519B7">
        <w:rPr>
          <w:rFonts w:ascii="Garamond" w:hAnsi="Garamond"/>
          <w:sz w:val="24"/>
          <w:szCs w:val="24"/>
        </w:rPr>
        <w:t>un freno al</w:t>
      </w:r>
      <w:r w:rsidR="00AA3CE9">
        <w:rPr>
          <w:rFonts w:ascii="Garamond" w:hAnsi="Garamond"/>
          <w:sz w:val="24"/>
          <w:szCs w:val="24"/>
        </w:rPr>
        <w:t>la tentazione spersonalizzante dell’autore del male</w:t>
      </w:r>
      <w:r w:rsidR="00C32C6F">
        <w:rPr>
          <w:rFonts w:ascii="Garamond" w:hAnsi="Garamond"/>
          <w:sz w:val="24"/>
          <w:szCs w:val="24"/>
        </w:rPr>
        <w:t>,</w:t>
      </w:r>
      <w:r w:rsidR="00AA3CE9">
        <w:rPr>
          <w:rFonts w:ascii="Garamond" w:hAnsi="Garamond"/>
          <w:sz w:val="24"/>
          <w:szCs w:val="24"/>
        </w:rPr>
        <w:t xml:space="preserve"> </w:t>
      </w:r>
      <w:r w:rsidR="005457CC" w:rsidRPr="00C32C6F">
        <w:rPr>
          <w:rFonts w:ascii="Garamond" w:hAnsi="Garamond"/>
          <w:i/>
          <w:sz w:val="24"/>
          <w:szCs w:val="24"/>
        </w:rPr>
        <w:t>re</w:t>
      </w:r>
      <w:r w:rsidR="00AA3CE9" w:rsidRPr="00C32C6F">
        <w:rPr>
          <w:rFonts w:ascii="Garamond" w:hAnsi="Garamond"/>
          <w:i/>
          <w:sz w:val="24"/>
          <w:szCs w:val="24"/>
        </w:rPr>
        <w:t>staurando l’ordine del soggetto</w:t>
      </w:r>
      <w:r w:rsidR="00F519B7">
        <w:rPr>
          <w:rFonts w:ascii="Garamond" w:hAnsi="Garamond"/>
          <w:sz w:val="24"/>
          <w:szCs w:val="24"/>
        </w:rPr>
        <w:t xml:space="preserve"> e della responsabilità</w:t>
      </w:r>
      <w:r w:rsidR="00AA3CE9">
        <w:rPr>
          <w:rFonts w:ascii="Garamond" w:hAnsi="Garamond"/>
          <w:sz w:val="24"/>
          <w:szCs w:val="24"/>
        </w:rPr>
        <w:t xml:space="preserve">. </w:t>
      </w:r>
    </w:p>
    <w:p w:rsidR="00F869C3" w:rsidRDefault="002302F8" w:rsidP="00F869C3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Tornando</w:t>
      </w:r>
      <w:r w:rsidR="00C32C6F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in conclusione</w:t>
      </w:r>
      <w:r w:rsidR="00C32C6F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all’esperimento, nel porlo all’attenzione di Forti, </w:t>
      </w:r>
      <w:proofErr w:type="gramStart"/>
      <w:r>
        <w:rPr>
          <w:rFonts w:ascii="Garamond" w:hAnsi="Garamond"/>
          <w:sz w:val="24"/>
          <w:szCs w:val="24"/>
        </w:rPr>
        <w:t>ella</w:t>
      </w:r>
      <w:proofErr w:type="gramEnd"/>
      <w:r w:rsidR="00355513">
        <w:rPr>
          <w:rFonts w:ascii="Garamond" w:hAnsi="Garamond"/>
          <w:sz w:val="24"/>
          <w:szCs w:val="24"/>
        </w:rPr>
        <w:t xml:space="preserve"> sottolinea</w:t>
      </w:r>
      <w:r w:rsidR="000F1A1C">
        <w:rPr>
          <w:rFonts w:ascii="Garamond" w:hAnsi="Garamond"/>
          <w:sz w:val="24"/>
          <w:szCs w:val="24"/>
        </w:rPr>
        <w:t xml:space="preserve"> </w:t>
      </w:r>
      <w:r w:rsidR="000309C3">
        <w:rPr>
          <w:rFonts w:ascii="Garamond" w:hAnsi="Garamond"/>
          <w:sz w:val="24"/>
          <w:szCs w:val="24"/>
        </w:rPr>
        <w:t xml:space="preserve">che non deve lasciare indifferenti che </w:t>
      </w:r>
      <w:r w:rsidR="00253881">
        <w:rPr>
          <w:rFonts w:ascii="Garamond" w:hAnsi="Garamond"/>
          <w:sz w:val="24"/>
          <w:szCs w:val="24"/>
        </w:rPr>
        <w:t xml:space="preserve">alcuni </w:t>
      </w:r>
      <w:r w:rsidR="000309C3">
        <w:rPr>
          <w:rFonts w:ascii="Garamond" w:hAnsi="Garamond"/>
          <w:sz w:val="24"/>
          <w:szCs w:val="24"/>
        </w:rPr>
        <w:t xml:space="preserve">fra i partecipanti </w:t>
      </w:r>
      <w:r w:rsidR="000F1A1C">
        <w:rPr>
          <w:rFonts w:ascii="Garamond" w:hAnsi="Garamond"/>
          <w:sz w:val="24"/>
          <w:szCs w:val="24"/>
        </w:rPr>
        <w:t>scelsero di</w:t>
      </w:r>
      <w:r w:rsidR="00253881">
        <w:rPr>
          <w:rFonts w:ascii="Garamond" w:hAnsi="Garamond"/>
          <w:sz w:val="24"/>
          <w:szCs w:val="24"/>
        </w:rPr>
        <w:t xml:space="preserve"> abbandonare </w:t>
      </w:r>
      <w:r w:rsidR="00D64A49">
        <w:rPr>
          <w:rFonts w:ascii="Garamond" w:hAnsi="Garamond"/>
          <w:sz w:val="24"/>
          <w:szCs w:val="24"/>
        </w:rPr>
        <w:t xml:space="preserve">l’esperimento. </w:t>
      </w:r>
      <w:r>
        <w:rPr>
          <w:rFonts w:ascii="Garamond" w:hAnsi="Garamond"/>
          <w:sz w:val="24"/>
          <w:szCs w:val="24"/>
        </w:rPr>
        <w:t xml:space="preserve">Anche questo </w:t>
      </w:r>
      <w:r w:rsidR="00F519B7">
        <w:rPr>
          <w:rFonts w:ascii="Garamond" w:hAnsi="Garamond"/>
          <w:sz w:val="24"/>
          <w:szCs w:val="24"/>
        </w:rPr>
        <w:t>ha da dirci</w:t>
      </w:r>
      <w:r>
        <w:rPr>
          <w:rFonts w:ascii="Garamond" w:hAnsi="Garamond"/>
          <w:sz w:val="24"/>
          <w:szCs w:val="24"/>
        </w:rPr>
        <w:t xml:space="preserve"> qualcosa </w:t>
      </w:r>
      <w:proofErr w:type="gramStart"/>
      <w:r>
        <w:rPr>
          <w:rFonts w:ascii="Garamond" w:hAnsi="Garamond"/>
          <w:sz w:val="24"/>
          <w:szCs w:val="24"/>
        </w:rPr>
        <w:t xml:space="preserve">di </w:t>
      </w:r>
      <w:proofErr w:type="gramEnd"/>
      <w:r>
        <w:rPr>
          <w:rFonts w:ascii="Garamond" w:hAnsi="Garamond"/>
          <w:sz w:val="24"/>
          <w:szCs w:val="24"/>
        </w:rPr>
        <w:t>importante</w:t>
      </w:r>
      <w:r w:rsidR="00F519B7">
        <w:rPr>
          <w:rFonts w:ascii="Garamond" w:hAnsi="Garamond"/>
          <w:sz w:val="24"/>
          <w:szCs w:val="24"/>
        </w:rPr>
        <w:t xml:space="preserve"> sulla questione</w:t>
      </w:r>
      <w:r>
        <w:rPr>
          <w:rFonts w:ascii="Garamond" w:hAnsi="Garamond"/>
          <w:sz w:val="24"/>
          <w:szCs w:val="24"/>
        </w:rPr>
        <w:t xml:space="preserve">. </w:t>
      </w:r>
      <w:r w:rsidR="00253881">
        <w:rPr>
          <w:rFonts w:ascii="Garamond" w:hAnsi="Garamond"/>
          <w:sz w:val="24"/>
          <w:szCs w:val="24"/>
        </w:rPr>
        <w:t>L</w:t>
      </w:r>
      <w:r w:rsidR="000F1A1C">
        <w:rPr>
          <w:rFonts w:ascii="Garamond" w:hAnsi="Garamond"/>
          <w:sz w:val="24"/>
          <w:szCs w:val="24"/>
        </w:rPr>
        <w:t xml:space="preserve">a </w:t>
      </w:r>
      <w:proofErr w:type="spellStart"/>
      <w:r w:rsidR="000F1A1C">
        <w:rPr>
          <w:rFonts w:ascii="Garamond" w:hAnsi="Garamond"/>
          <w:sz w:val="24"/>
          <w:szCs w:val="24"/>
        </w:rPr>
        <w:t>deindividuazione</w:t>
      </w:r>
      <w:proofErr w:type="spellEnd"/>
      <w:r w:rsidR="000F1A1C">
        <w:rPr>
          <w:rFonts w:ascii="Garamond" w:hAnsi="Garamond"/>
          <w:sz w:val="24"/>
          <w:szCs w:val="24"/>
        </w:rPr>
        <w:t xml:space="preserve"> non è totale</w:t>
      </w:r>
      <w:r w:rsidR="00C32C6F">
        <w:rPr>
          <w:rFonts w:ascii="Garamond" w:hAnsi="Garamond"/>
          <w:sz w:val="24"/>
          <w:szCs w:val="24"/>
        </w:rPr>
        <w:t xml:space="preserve"> e non è fatale</w:t>
      </w:r>
      <w:r w:rsidR="00253881">
        <w:rPr>
          <w:rFonts w:ascii="Garamond" w:hAnsi="Garamond"/>
          <w:sz w:val="24"/>
          <w:szCs w:val="24"/>
        </w:rPr>
        <w:t xml:space="preserve">: </w:t>
      </w:r>
      <w:proofErr w:type="gramStart"/>
      <w:r w:rsidR="000309C3">
        <w:rPr>
          <w:rFonts w:ascii="Garamond" w:hAnsi="Garamond"/>
          <w:sz w:val="24"/>
          <w:szCs w:val="24"/>
        </w:rPr>
        <w:t>le si può</w:t>
      </w:r>
      <w:proofErr w:type="gramEnd"/>
      <w:r w:rsidR="000309C3">
        <w:rPr>
          <w:rFonts w:ascii="Garamond" w:hAnsi="Garamond"/>
          <w:sz w:val="24"/>
          <w:szCs w:val="24"/>
        </w:rPr>
        <w:t xml:space="preserve"> opporre una soggettività morale, </w:t>
      </w:r>
      <w:r>
        <w:rPr>
          <w:rFonts w:ascii="Garamond" w:hAnsi="Garamond"/>
          <w:sz w:val="24"/>
          <w:szCs w:val="24"/>
        </w:rPr>
        <w:t xml:space="preserve">vale a dire </w:t>
      </w:r>
      <w:r w:rsidR="000F1A1C">
        <w:rPr>
          <w:rFonts w:ascii="Garamond" w:hAnsi="Garamond"/>
          <w:sz w:val="24"/>
          <w:szCs w:val="24"/>
        </w:rPr>
        <w:t>l’</w:t>
      </w:r>
      <w:r w:rsidR="000309C3">
        <w:rPr>
          <w:rFonts w:ascii="Garamond" w:hAnsi="Garamond"/>
          <w:sz w:val="24"/>
          <w:szCs w:val="24"/>
        </w:rPr>
        <w:t>individuo che dialoga fra sé e sé e</w:t>
      </w:r>
      <w:r w:rsidR="00AA3CE9">
        <w:rPr>
          <w:rFonts w:ascii="Garamond" w:hAnsi="Garamond"/>
          <w:sz w:val="24"/>
          <w:szCs w:val="24"/>
        </w:rPr>
        <w:t xml:space="preserve"> che</w:t>
      </w:r>
      <w:r w:rsidR="000309C3">
        <w:rPr>
          <w:rFonts w:ascii="Garamond" w:hAnsi="Garamond"/>
          <w:sz w:val="24"/>
          <w:szCs w:val="24"/>
        </w:rPr>
        <w:t>,</w:t>
      </w:r>
      <w:r w:rsidR="00AA3CE9">
        <w:rPr>
          <w:rFonts w:ascii="Garamond" w:hAnsi="Garamond"/>
          <w:sz w:val="24"/>
          <w:szCs w:val="24"/>
        </w:rPr>
        <w:t xml:space="preserve"> come</w:t>
      </w:r>
      <w:r w:rsidR="000309C3">
        <w:rPr>
          <w:rFonts w:ascii="Garamond" w:hAnsi="Garamond"/>
          <w:sz w:val="24"/>
          <w:szCs w:val="24"/>
        </w:rPr>
        <w:t xml:space="preserve"> </w:t>
      </w:r>
      <w:proofErr w:type="spellStart"/>
      <w:r w:rsidR="000309C3">
        <w:rPr>
          <w:rFonts w:ascii="Garamond" w:hAnsi="Garamond"/>
          <w:sz w:val="24"/>
          <w:szCs w:val="24"/>
        </w:rPr>
        <w:t>due-in-uno</w:t>
      </w:r>
      <w:proofErr w:type="spellEnd"/>
      <w:r w:rsidR="000309C3">
        <w:rPr>
          <w:rFonts w:ascii="Garamond" w:hAnsi="Garamond"/>
          <w:sz w:val="24"/>
          <w:szCs w:val="24"/>
        </w:rPr>
        <w:t xml:space="preserve">, opera </w:t>
      </w:r>
      <w:r w:rsidR="00AA3CE9">
        <w:rPr>
          <w:rFonts w:ascii="Garamond" w:hAnsi="Garamond"/>
          <w:sz w:val="24"/>
          <w:szCs w:val="24"/>
        </w:rPr>
        <w:t xml:space="preserve">responsabilmente </w:t>
      </w:r>
      <w:r w:rsidR="000309C3">
        <w:rPr>
          <w:rFonts w:ascii="Garamond" w:hAnsi="Garamond"/>
          <w:sz w:val="24"/>
          <w:szCs w:val="24"/>
        </w:rPr>
        <w:t>delle scelte.</w:t>
      </w:r>
      <w:r w:rsidR="005221F2">
        <w:rPr>
          <w:rFonts w:ascii="Garamond" w:hAnsi="Garamond"/>
          <w:sz w:val="24"/>
          <w:szCs w:val="24"/>
        </w:rPr>
        <w:t xml:space="preserve"> </w:t>
      </w:r>
      <w:r w:rsidR="00F869C3">
        <w:rPr>
          <w:rFonts w:ascii="Garamond" w:hAnsi="Garamond"/>
          <w:sz w:val="24"/>
          <w:szCs w:val="24"/>
        </w:rPr>
        <w:t xml:space="preserve"> </w:t>
      </w:r>
    </w:p>
    <w:p w:rsidR="00355513" w:rsidRDefault="00355513" w:rsidP="00284637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</w:p>
    <w:p w:rsidR="001939BE" w:rsidRDefault="001939BE" w:rsidP="00134CF5">
      <w:pPr>
        <w:spacing w:line="276" w:lineRule="auto"/>
        <w:ind w:firstLine="284"/>
        <w:contextualSpacing/>
        <w:jc w:val="both"/>
        <w:rPr>
          <w:rFonts w:ascii="Garamond" w:hAnsi="Garamond"/>
          <w:sz w:val="24"/>
          <w:szCs w:val="24"/>
        </w:rPr>
      </w:pPr>
    </w:p>
    <w:p w:rsidR="00586706" w:rsidRPr="00586706" w:rsidRDefault="00A703F6" w:rsidP="00A703F6">
      <w:pPr>
        <w:spacing w:line="276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sectPr w:rsidR="00586706" w:rsidRPr="00586706" w:rsidSect="00ED100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A4D" w:rsidRDefault="00662A4D" w:rsidP="00C50C8E">
      <w:pPr>
        <w:spacing w:after="0" w:line="240" w:lineRule="auto"/>
      </w:pPr>
      <w:r>
        <w:separator/>
      </w:r>
    </w:p>
  </w:endnote>
  <w:endnote w:type="continuationSeparator" w:id="0">
    <w:p w:rsidR="00662A4D" w:rsidRDefault="00662A4D" w:rsidP="00C5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900813"/>
      <w:docPartObj>
        <w:docPartGallery w:val="Page Numbers (Bottom of Page)"/>
        <w:docPartUnique/>
      </w:docPartObj>
    </w:sdtPr>
    <w:sdtContent>
      <w:p w:rsidR="00662A4D" w:rsidRDefault="00662A4D">
        <w:pPr>
          <w:pStyle w:val="Footer"/>
          <w:jc w:val="center"/>
          <w:rPr>
            <w:rFonts w:ascii="Garamond" w:hAnsi="Garamond"/>
          </w:rPr>
        </w:pPr>
      </w:p>
      <w:p w:rsidR="00662A4D" w:rsidRDefault="00662A4D">
        <w:pPr>
          <w:pStyle w:val="Footer"/>
          <w:jc w:val="center"/>
        </w:pPr>
        <w:fldSimple w:instr=" PAGE   \* MERGEFORMAT ">
          <w:r w:rsidR="00E46F3B">
            <w:rPr>
              <w:rFonts w:ascii="Garamond" w:hAnsi="Garamond"/>
              <w:noProof/>
            </w:rPr>
            <w:t>11</w:t>
          </w:r>
        </w:fldSimple>
      </w:p>
    </w:sdtContent>
  </w:sdt>
  <w:p w:rsidR="00662A4D" w:rsidRDefault="00662A4D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A4D" w:rsidRDefault="00662A4D" w:rsidP="00C50C8E">
      <w:pPr>
        <w:spacing w:after="0" w:line="240" w:lineRule="auto"/>
      </w:pPr>
      <w:r>
        <w:separator/>
      </w:r>
    </w:p>
  </w:footnote>
  <w:footnote w:type="continuationSeparator" w:id="0">
    <w:p w:rsidR="00662A4D" w:rsidRDefault="00662A4D" w:rsidP="00C50C8E">
      <w:pPr>
        <w:spacing w:after="0" w:line="240" w:lineRule="auto"/>
      </w:pPr>
      <w:r>
        <w:continuationSeparator/>
      </w:r>
    </w:p>
  </w:footnote>
  <w:footnote w:id="1">
    <w:p w:rsidR="00662A4D" w:rsidRPr="00E10B79" w:rsidRDefault="00662A4D">
      <w:pPr>
        <w:pStyle w:val="FootnoteText"/>
        <w:rPr>
          <w:rFonts w:ascii="Garamond" w:hAnsi="Garamond"/>
        </w:rPr>
      </w:pPr>
      <w:r w:rsidRPr="00E10B79">
        <w:rPr>
          <w:rStyle w:val="FootnoteReference"/>
          <w:rFonts w:ascii="Garamond" w:hAnsi="Garamond"/>
        </w:rPr>
        <w:footnoteRef/>
      </w:r>
      <w:r w:rsidRPr="00E10B79">
        <w:rPr>
          <w:rFonts w:ascii="Garamond" w:hAnsi="Garamond"/>
        </w:rPr>
        <w:t xml:space="preserve"> C. </w:t>
      </w:r>
      <w:proofErr w:type="spellStart"/>
      <w:r w:rsidRPr="00E10B79">
        <w:rPr>
          <w:rFonts w:ascii="Garamond" w:hAnsi="Garamond"/>
        </w:rPr>
        <w:t>Perelman</w:t>
      </w:r>
      <w:proofErr w:type="spellEnd"/>
      <w:r w:rsidRPr="00E10B79">
        <w:rPr>
          <w:rFonts w:ascii="Garamond" w:hAnsi="Garamond"/>
        </w:rPr>
        <w:t xml:space="preserve">, </w:t>
      </w:r>
      <w:r w:rsidRPr="00E10B79">
        <w:rPr>
          <w:rFonts w:ascii="Garamond" w:hAnsi="Garamond"/>
          <w:i/>
        </w:rPr>
        <w:t>Il dominio retorico</w:t>
      </w:r>
      <w:r w:rsidRPr="00E10B79">
        <w:rPr>
          <w:rFonts w:ascii="Garamond" w:hAnsi="Garamond"/>
        </w:rPr>
        <w:t xml:space="preserve">. </w:t>
      </w:r>
      <w:r w:rsidRPr="00E10B79">
        <w:rPr>
          <w:rFonts w:ascii="Garamond" w:hAnsi="Garamond"/>
          <w:i/>
        </w:rPr>
        <w:t>Retorica e argomentazione</w:t>
      </w:r>
      <w:r w:rsidRPr="00E10B79">
        <w:rPr>
          <w:rFonts w:ascii="Garamond" w:hAnsi="Garamond"/>
        </w:rPr>
        <w:t xml:space="preserve">, trad. </w:t>
      </w:r>
      <w:proofErr w:type="spellStart"/>
      <w:proofErr w:type="gramStart"/>
      <w:r w:rsidRPr="00E10B79">
        <w:rPr>
          <w:rFonts w:ascii="Garamond" w:hAnsi="Garamond"/>
        </w:rPr>
        <w:t>it</w:t>
      </w:r>
      <w:proofErr w:type="spellEnd"/>
      <w:r w:rsidRPr="00E10B79">
        <w:rPr>
          <w:rFonts w:ascii="Garamond" w:hAnsi="Garamond"/>
        </w:rPr>
        <w:t>.</w:t>
      </w:r>
      <w:proofErr w:type="gramEnd"/>
      <w:r w:rsidRPr="00E10B79">
        <w:rPr>
          <w:rFonts w:ascii="Garamond" w:hAnsi="Garamond"/>
        </w:rPr>
        <w:t xml:space="preserve"> Einaudi, Torino 1981, p. 6, corsivi dell’autore.</w:t>
      </w:r>
    </w:p>
  </w:footnote>
  <w:footnote w:id="2">
    <w:p w:rsidR="00662A4D" w:rsidRPr="00E10B79" w:rsidRDefault="00662A4D">
      <w:pPr>
        <w:pStyle w:val="FootnoteText"/>
        <w:rPr>
          <w:rFonts w:ascii="Garamond" w:hAnsi="Garamond"/>
        </w:rPr>
      </w:pPr>
      <w:r w:rsidRPr="00E10B79">
        <w:rPr>
          <w:rStyle w:val="FootnoteReference"/>
          <w:rFonts w:ascii="Garamond" w:hAnsi="Garamond"/>
        </w:rPr>
        <w:footnoteRef/>
      </w:r>
      <w:r w:rsidRPr="00E10B79">
        <w:rPr>
          <w:rFonts w:ascii="Garamond" w:hAnsi="Garamond"/>
        </w:rPr>
        <w:t xml:space="preserve"> </w:t>
      </w:r>
      <w:r>
        <w:rPr>
          <w:rFonts w:ascii="Garamond" w:hAnsi="Garamond"/>
        </w:rPr>
        <w:t>Ivi</w:t>
      </w:r>
      <w:r w:rsidRPr="00E10B79">
        <w:rPr>
          <w:rFonts w:ascii="Garamond" w:hAnsi="Garamond"/>
        </w:rPr>
        <w:t>, p. 29.</w:t>
      </w:r>
    </w:p>
  </w:footnote>
  <w:footnote w:id="3">
    <w:p w:rsidR="00662A4D" w:rsidRPr="00E10B79" w:rsidRDefault="00662A4D">
      <w:pPr>
        <w:pStyle w:val="FootnoteText"/>
        <w:rPr>
          <w:rFonts w:ascii="Garamond" w:hAnsi="Garamond"/>
        </w:rPr>
      </w:pPr>
      <w:r w:rsidRPr="00E10B79">
        <w:rPr>
          <w:rStyle w:val="FootnoteReference"/>
          <w:rFonts w:ascii="Garamond" w:hAnsi="Garamond"/>
        </w:rPr>
        <w:footnoteRef/>
      </w:r>
      <w:r w:rsidRPr="00E10B7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Cfr. </w:t>
      </w:r>
      <w:r w:rsidRPr="00E10B79">
        <w:rPr>
          <w:rFonts w:ascii="Garamond" w:hAnsi="Garamond"/>
        </w:rPr>
        <w:t xml:space="preserve">C. </w:t>
      </w:r>
      <w:proofErr w:type="spellStart"/>
      <w:r w:rsidRPr="00E10B79">
        <w:rPr>
          <w:rFonts w:ascii="Garamond" w:hAnsi="Garamond"/>
        </w:rPr>
        <w:t>Michelstaedter</w:t>
      </w:r>
      <w:proofErr w:type="spellEnd"/>
      <w:r w:rsidRPr="00E10B79">
        <w:rPr>
          <w:rFonts w:ascii="Garamond" w:hAnsi="Garamond"/>
        </w:rPr>
        <w:t xml:space="preserve">, </w:t>
      </w:r>
      <w:r>
        <w:rPr>
          <w:rFonts w:ascii="Garamond" w:hAnsi="Garamond"/>
          <w:i/>
        </w:rPr>
        <w:t xml:space="preserve">La persuasione e la </w:t>
      </w:r>
      <w:proofErr w:type="spellStart"/>
      <w:r>
        <w:rPr>
          <w:rFonts w:ascii="Garamond" w:hAnsi="Garamond"/>
          <w:i/>
        </w:rPr>
        <w:t>rettorica</w:t>
      </w:r>
      <w:proofErr w:type="spellEnd"/>
      <w:r w:rsidRPr="00E10B79">
        <w:rPr>
          <w:rFonts w:ascii="Garamond" w:hAnsi="Garamond"/>
        </w:rPr>
        <w:t>, Adelphi, Milano</w:t>
      </w:r>
      <w:r>
        <w:rPr>
          <w:rFonts w:ascii="Garamond" w:hAnsi="Garamond"/>
        </w:rPr>
        <w:t xml:space="preserve"> 1982.</w:t>
      </w:r>
    </w:p>
  </w:footnote>
  <w:footnote w:id="4">
    <w:p w:rsidR="00662A4D" w:rsidRPr="00E10B79" w:rsidRDefault="00662A4D" w:rsidP="00E10B79">
      <w:pPr>
        <w:pStyle w:val="FootnoteText"/>
        <w:jc w:val="both"/>
        <w:rPr>
          <w:rFonts w:ascii="Garamond" w:hAnsi="Garamond"/>
        </w:rPr>
      </w:pPr>
      <w:r w:rsidRPr="00E10B79">
        <w:rPr>
          <w:rStyle w:val="FootnoteReference"/>
          <w:rFonts w:ascii="Garamond" w:hAnsi="Garamond"/>
        </w:rPr>
        <w:footnoteRef/>
      </w:r>
      <w:r w:rsidRPr="00E10B79">
        <w:rPr>
          <w:rFonts w:ascii="Garamond" w:hAnsi="Garamond"/>
        </w:rPr>
        <w:t xml:space="preserve"> Cfr. F. D’Agostini, </w:t>
      </w:r>
      <w:r w:rsidRPr="00E10B79">
        <w:rPr>
          <w:rFonts w:ascii="Garamond" w:hAnsi="Garamond"/>
          <w:i/>
        </w:rPr>
        <w:t xml:space="preserve">Verità avvelenata. </w:t>
      </w:r>
      <w:proofErr w:type="gramStart"/>
      <w:r w:rsidRPr="00E10B79">
        <w:rPr>
          <w:rFonts w:ascii="Garamond" w:hAnsi="Garamond"/>
          <w:i/>
        </w:rPr>
        <w:t>Buoni e cattivi argomenti nel dibattito pubblico</w:t>
      </w:r>
      <w:r w:rsidRPr="00E10B79">
        <w:rPr>
          <w:rFonts w:ascii="Garamond" w:hAnsi="Garamond"/>
        </w:rPr>
        <w:t xml:space="preserve">, Bollati </w:t>
      </w:r>
      <w:proofErr w:type="spellStart"/>
      <w:r w:rsidRPr="00E10B79">
        <w:rPr>
          <w:rFonts w:ascii="Garamond" w:hAnsi="Garamond"/>
        </w:rPr>
        <w:t>Boringhieri</w:t>
      </w:r>
      <w:proofErr w:type="spellEnd"/>
      <w:r w:rsidRPr="00E10B79">
        <w:rPr>
          <w:rFonts w:ascii="Garamond" w:hAnsi="Garamond"/>
        </w:rPr>
        <w:t xml:space="preserve">, Torino </w:t>
      </w:r>
      <w:r>
        <w:rPr>
          <w:rFonts w:ascii="Garamond" w:hAnsi="Garamond"/>
        </w:rPr>
        <w:t>2010.</w:t>
      </w:r>
      <w:proofErr w:type="gramEnd"/>
    </w:p>
  </w:footnote>
  <w:footnote w:id="5">
    <w:p w:rsidR="00662A4D" w:rsidRPr="00E10B79" w:rsidRDefault="00662A4D" w:rsidP="00E10B79">
      <w:pPr>
        <w:pStyle w:val="FootnoteText"/>
        <w:jc w:val="both"/>
        <w:rPr>
          <w:rFonts w:ascii="Garamond" w:hAnsi="Garamond"/>
        </w:rPr>
      </w:pPr>
      <w:r w:rsidRPr="00E10B79">
        <w:rPr>
          <w:rStyle w:val="FootnoteReference"/>
          <w:rFonts w:ascii="Garamond" w:hAnsi="Garamond"/>
        </w:rPr>
        <w:footnoteRef/>
      </w:r>
      <w:r w:rsidRPr="00E10B79">
        <w:rPr>
          <w:rFonts w:ascii="Garamond" w:hAnsi="Garamond"/>
        </w:rPr>
        <w:t xml:space="preserve"> </w:t>
      </w:r>
      <w:proofErr w:type="gramStart"/>
      <w:r w:rsidRPr="00E10B79">
        <w:rPr>
          <w:rFonts w:ascii="Garamond" w:hAnsi="Garamond"/>
        </w:rPr>
        <w:t>J.</w:t>
      </w:r>
      <w:proofErr w:type="gramEnd"/>
      <w:r w:rsidRPr="00E10B79">
        <w:rPr>
          <w:rFonts w:ascii="Garamond" w:hAnsi="Garamond"/>
        </w:rPr>
        <w:t xml:space="preserve"> L. Austin, </w:t>
      </w:r>
      <w:proofErr w:type="spellStart"/>
      <w:r w:rsidRPr="00E10B79">
        <w:rPr>
          <w:rFonts w:ascii="Garamond" w:hAnsi="Garamond"/>
          <w:i/>
        </w:rPr>
        <w:t>How</w:t>
      </w:r>
      <w:proofErr w:type="spellEnd"/>
      <w:r w:rsidRPr="00E10B79">
        <w:rPr>
          <w:rFonts w:ascii="Garamond" w:hAnsi="Garamond"/>
          <w:i/>
        </w:rPr>
        <w:t xml:space="preserve"> </w:t>
      </w:r>
      <w:proofErr w:type="spellStart"/>
      <w:r w:rsidRPr="00E10B79">
        <w:rPr>
          <w:rFonts w:ascii="Garamond" w:hAnsi="Garamond"/>
          <w:i/>
        </w:rPr>
        <w:t>to</w:t>
      </w:r>
      <w:proofErr w:type="spellEnd"/>
      <w:r w:rsidRPr="00E10B79">
        <w:rPr>
          <w:rFonts w:ascii="Garamond" w:hAnsi="Garamond"/>
          <w:i/>
        </w:rPr>
        <w:t xml:space="preserve"> Do </w:t>
      </w:r>
      <w:proofErr w:type="spellStart"/>
      <w:r w:rsidRPr="00E10B79">
        <w:rPr>
          <w:rFonts w:ascii="Garamond" w:hAnsi="Garamond"/>
          <w:i/>
        </w:rPr>
        <w:t>Things</w:t>
      </w:r>
      <w:proofErr w:type="spellEnd"/>
      <w:r w:rsidRPr="00E10B79">
        <w:rPr>
          <w:rFonts w:ascii="Garamond" w:hAnsi="Garamond"/>
          <w:i/>
        </w:rPr>
        <w:t xml:space="preserve"> </w:t>
      </w:r>
      <w:proofErr w:type="spellStart"/>
      <w:r w:rsidRPr="00E10B79">
        <w:rPr>
          <w:rFonts w:ascii="Garamond" w:hAnsi="Garamond"/>
          <w:i/>
        </w:rPr>
        <w:t>With</w:t>
      </w:r>
      <w:proofErr w:type="spellEnd"/>
      <w:r w:rsidRPr="00E10B79">
        <w:rPr>
          <w:rFonts w:ascii="Garamond" w:hAnsi="Garamond"/>
          <w:i/>
        </w:rPr>
        <w:t xml:space="preserve"> </w:t>
      </w:r>
      <w:proofErr w:type="spellStart"/>
      <w:r w:rsidRPr="00E10B79">
        <w:rPr>
          <w:rFonts w:ascii="Garamond" w:hAnsi="Garamond"/>
          <w:i/>
        </w:rPr>
        <w:t>Words</w:t>
      </w:r>
      <w:proofErr w:type="spellEnd"/>
      <w:r w:rsidRPr="00E10B79">
        <w:rPr>
          <w:rFonts w:ascii="Garamond" w:hAnsi="Garamond"/>
          <w:i/>
        </w:rPr>
        <w:t>.</w:t>
      </w:r>
      <w:r w:rsidRPr="00E10B79">
        <w:rPr>
          <w:rFonts w:ascii="Garamond" w:hAnsi="Garamond"/>
          <w:i/>
          <w:lang w:val="en-GB"/>
        </w:rPr>
        <w:t xml:space="preserve"> The William James Lectures D</w:t>
      </w:r>
      <w:r w:rsidRPr="00E10B79">
        <w:rPr>
          <w:rFonts w:ascii="Garamond" w:eastAsia="Calibri" w:hAnsi="Garamond" w:cs="Times New Roman"/>
          <w:i/>
          <w:lang w:val="en-GB"/>
        </w:rPr>
        <w:t xml:space="preserve">elivered at Harvard University in 1955, </w:t>
      </w:r>
      <w:r w:rsidRPr="00E10B79">
        <w:rPr>
          <w:rFonts w:ascii="Garamond" w:eastAsia="Calibri" w:hAnsi="Garamond" w:cs="Times New Roman"/>
          <w:lang w:val="en-GB"/>
        </w:rPr>
        <w:t>Oxford University Press, London 1962</w:t>
      </w:r>
      <w:r>
        <w:rPr>
          <w:rFonts w:ascii="Garamond" w:hAnsi="Garamond"/>
          <w:lang w:val="en-GB"/>
        </w:rPr>
        <w:t xml:space="preserve">, </w:t>
      </w:r>
      <w:proofErr w:type="spellStart"/>
      <w:r>
        <w:rPr>
          <w:rFonts w:ascii="Garamond" w:hAnsi="Garamond"/>
          <w:lang w:val="en-GB"/>
        </w:rPr>
        <w:t>trad</w:t>
      </w:r>
      <w:proofErr w:type="spellEnd"/>
      <w:r>
        <w:rPr>
          <w:rFonts w:ascii="Garamond" w:hAnsi="Garamond"/>
          <w:lang w:val="en-GB"/>
        </w:rPr>
        <w:t xml:space="preserve">. </w:t>
      </w:r>
      <w:proofErr w:type="gramStart"/>
      <w:r>
        <w:rPr>
          <w:rFonts w:ascii="Garamond" w:hAnsi="Garamond"/>
          <w:lang w:val="en-GB"/>
        </w:rPr>
        <w:t>it</w:t>
      </w:r>
      <w:proofErr w:type="gramEnd"/>
      <w:r>
        <w:rPr>
          <w:rFonts w:ascii="Garamond" w:hAnsi="Garamond"/>
          <w:lang w:val="en-GB"/>
        </w:rPr>
        <w:t xml:space="preserve">. </w:t>
      </w:r>
      <w:proofErr w:type="gramStart"/>
      <w:r>
        <w:rPr>
          <w:rFonts w:ascii="Garamond" w:hAnsi="Garamond"/>
          <w:lang w:val="en-GB"/>
        </w:rPr>
        <w:t xml:space="preserve">Id., </w:t>
      </w:r>
      <w:r w:rsidRPr="00E10B79">
        <w:rPr>
          <w:rFonts w:ascii="Garamond" w:hAnsi="Garamond"/>
          <w:i/>
          <w:lang w:val="en-GB"/>
        </w:rPr>
        <w:t xml:space="preserve">Come fare </w:t>
      </w:r>
      <w:proofErr w:type="spellStart"/>
      <w:r w:rsidRPr="00E10B79">
        <w:rPr>
          <w:rFonts w:ascii="Garamond" w:hAnsi="Garamond"/>
          <w:i/>
          <w:lang w:val="en-GB"/>
        </w:rPr>
        <w:t>cose</w:t>
      </w:r>
      <w:proofErr w:type="spellEnd"/>
      <w:r w:rsidRPr="00E10B79">
        <w:rPr>
          <w:rFonts w:ascii="Garamond" w:hAnsi="Garamond"/>
          <w:i/>
          <w:lang w:val="en-GB"/>
        </w:rPr>
        <w:t xml:space="preserve"> con le parole</w:t>
      </w:r>
      <w:r>
        <w:rPr>
          <w:rFonts w:ascii="Garamond" w:hAnsi="Garamond"/>
          <w:lang w:val="en-GB"/>
        </w:rPr>
        <w:t xml:space="preserve">, </w:t>
      </w:r>
      <w:proofErr w:type="spellStart"/>
      <w:r>
        <w:rPr>
          <w:rFonts w:ascii="Garamond" w:hAnsi="Garamond"/>
          <w:lang w:val="en-GB"/>
        </w:rPr>
        <w:t>Marietti</w:t>
      </w:r>
      <w:proofErr w:type="spellEnd"/>
      <w:r>
        <w:rPr>
          <w:rFonts w:ascii="Garamond" w:hAnsi="Garamond"/>
          <w:lang w:val="en-GB"/>
        </w:rPr>
        <w:t xml:space="preserve">, </w:t>
      </w:r>
      <w:proofErr w:type="spellStart"/>
      <w:r>
        <w:rPr>
          <w:rFonts w:ascii="Garamond" w:hAnsi="Garamond"/>
          <w:lang w:val="en-GB"/>
        </w:rPr>
        <w:t>Genova</w:t>
      </w:r>
      <w:proofErr w:type="spellEnd"/>
      <w:r>
        <w:rPr>
          <w:rFonts w:ascii="Garamond" w:hAnsi="Garamond"/>
          <w:lang w:val="en-GB"/>
        </w:rPr>
        <w:t xml:space="preserve"> 1987.</w:t>
      </w:r>
      <w:proofErr w:type="gramEnd"/>
      <w:r>
        <w:rPr>
          <w:rFonts w:ascii="Garamond" w:hAnsi="Garamond"/>
          <w:lang w:val="en-GB"/>
        </w:rPr>
        <w:t xml:space="preserve">  </w:t>
      </w:r>
    </w:p>
  </w:footnote>
  <w:footnote w:id="6">
    <w:p w:rsidR="00662A4D" w:rsidRPr="00E10B79" w:rsidRDefault="00662A4D">
      <w:pPr>
        <w:pStyle w:val="FootnoteText"/>
        <w:rPr>
          <w:rFonts w:ascii="Garamond" w:hAnsi="Garamond"/>
        </w:rPr>
      </w:pPr>
      <w:r w:rsidRPr="00E10B79">
        <w:rPr>
          <w:rStyle w:val="FootnoteReference"/>
          <w:rFonts w:ascii="Garamond" w:hAnsi="Garamond"/>
        </w:rPr>
        <w:footnoteRef/>
      </w:r>
      <w:r w:rsidRPr="00E10B79">
        <w:rPr>
          <w:rFonts w:ascii="Garamond" w:hAnsi="Garamond"/>
        </w:rPr>
        <w:t xml:space="preserve"> F. D’Agostini, </w:t>
      </w:r>
      <w:r>
        <w:rPr>
          <w:rFonts w:ascii="Garamond" w:hAnsi="Garamond"/>
        </w:rPr>
        <w:t xml:space="preserve">cit., </w:t>
      </w:r>
      <w:r w:rsidRPr="00E10B79">
        <w:rPr>
          <w:rFonts w:ascii="Garamond" w:hAnsi="Garamond"/>
        </w:rPr>
        <w:t>pp. 11-13</w:t>
      </w:r>
      <w:r>
        <w:rPr>
          <w:rFonts w:ascii="Garamond" w:hAnsi="Garamond"/>
        </w:rPr>
        <w:t>.</w:t>
      </w:r>
    </w:p>
  </w:footnote>
  <w:footnote w:id="7">
    <w:p w:rsidR="00662A4D" w:rsidRPr="00E10B79" w:rsidRDefault="00662A4D">
      <w:pPr>
        <w:pStyle w:val="FootnoteText"/>
        <w:rPr>
          <w:rFonts w:ascii="Garamond" w:hAnsi="Garamond"/>
        </w:rPr>
      </w:pPr>
      <w:r w:rsidRPr="00E10B79">
        <w:rPr>
          <w:rStyle w:val="FootnoteReference"/>
          <w:rFonts w:ascii="Garamond" w:hAnsi="Garamond"/>
        </w:rPr>
        <w:footnoteRef/>
      </w:r>
      <w:r w:rsidRPr="00E10B79">
        <w:rPr>
          <w:rFonts w:ascii="Garamond" w:hAnsi="Garamond"/>
        </w:rPr>
        <w:t xml:space="preserve"> Cfr. </w:t>
      </w:r>
      <w:r>
        <w:rPr>
          <w:rFonts w:ascii="Garamond" w:hAnsi="Garamond"/>
        </w:rPr>
        <w:t xml:space="preserve">P. </w:t>
      </w:r>
      <w:r w:rsidRPr="00E10B79">
        <w:rPr>
          <w:rFonts w:ascii="Garamond" w:hAnsi="Garamond"/>
        </w:rPr>
        <w:t xml:space="preserve">Cantù, </w:t>
      </w:r>
      <w:r>
        <w:rPr>
          <w:rFonts w:ascii="Garamond" w:hAnsi="Garamond"/>
        </w:rPr>
        <w:t xml:space="preserve">I. </w:t>
      </w:r>
      <w:r w:rsidRPr="00E10B79">
        <w:rPr>
          <w:rFonts w:ascii="Garamond" w:hAnsi="Garamond"/>
        </w:rPr>
        <w:t xml:space="preserve">Testa, </w:t>
      </w:r>
      <w:r w:rsidRPr="00E10B79">
        <w:rPr>
          <w:rFonts w:ascii="Garamond" w:hAnsi="Garamond"/>
          <w:i/>
        </w:rPr>
        <w:t>Teorie dell’argomentazione</w:t>
      </w:r>
      <w:r>
        <w:rPr>
          <w:rFonts w:ascii="Garamond" w:hAnsi="Garamond"/>
          <w:i/>
        </w:rPr>
        <w:t xml:space="preserve">. </w:t>
      </w:r>
      <w:proofErr w:type="gramStart"/>
      <w:r>
        <w:rPr>
          <w:rFonts w:ascii="Garamond" w:hAnsi="Garamond"/>
          <w:i/>
        </w:rPr>
        <w:t xml:space="preserve">Un’introduzione alle logiche del dialogo, </w:t>
      </w:r>
      <w:r>
        <w:rPr>
          <w:rFonts w:ascii="Garamond" w:hAnsi="Garamond"/>
        </w:rPr>
        <w:t>Mondadori, Milano 2006.</w:t>
      </w:r>
      <w:proofErr w:type="gramEnd"/>
    </w:p>
  </w:footnote>
  <w:footnote w:id="8">
    <w:p w:rsidR="00662A4D" w:rsidRDefault="00662A4D">
      <w:pPr>
        <w:pStyle w:val="FootnoteText"/>
      </w:pPr>
      <w:r w:rsidRPr="003739DD">
        <w:rPr>
          <w:rStyle w:val="FootnoteReference"/>
          <w:rFonts w:ascii="Garamond" w:hAnsi="Garamond"/>
        </w:rPr>
        <w:footnoteRef/>
      </w:r>
      <w:r w:rsidRPr="003739DD">
        <w:rPr>
          <w:rFonts w:ascii="Garamond" w:hAnsi="Garamond"/>
        </w:rPr>
        <w:t xml:space="preserve"> Cfr. P.</w:t>
      </w:r>
      <w:r>
        <w:t xml:space="preserve"> </w:t>
      </w:r>
      <w:r w:rsidRPr="003739DD">
        <w:rPr>
          <w:rFonts w:ascii="Garamond" w:hAnsi="Garamond"/>
        </w:rPr>
        <w:t xml:space="preserve">G. </w:t>
      </w:r>
      <w:proofErr w:type="spellStart"/>
      <w:r w:rsidRPr="003739DD">
        <w:rPr>
          <w:rFonts w:ascii="Garamond" w:hAnsi="Garamond"/>
        </w:rPr>
        <w:t>Zimbardo</w:t>
      </w:r>
      <w:proofErr w:type="spellEnd"/>
      <w:r w:rsidRPr="003739DD">
        <w:rPr>
          <w:rFonts w:ascii="Garamond" w:hAnsi="Garamond"/>
        </w:rPr>
        <w:t>, </w:t>
      </w:r>
      <w:r w:rsidRPr="00FC6835">
        <w:rPr>
          <w:rFonts w:ascii="Garamond" w:hAnsi="Garamond"/>
          <w:i/>
        </w:rPr>
        <w:t xml:space="preserve">The </w:t>
      </w:r>
      <w:proofErr w:type="spellStart"/>
      <w:r w:rsidRPr="00FC6835">
        <w:rPr>
          <w:rFonts w:ascii="Garamond" w:hAnsi="Garamond"/>
          <w:i/>
        </w:rPr>
        <w:t>Lucifer</w:t>
      </w:r>
      <w:proofErr w:type="spellEnd"/>
      <w:r w:rsidRPr="00FC6835">
        <w:rPr>
          <w:rFonts w:ascii="Garamond" w:hAnsi="Garamond"/>
          <w:i/>
        </w:rPr>
        <w:t xml:space="preserve"> </w:t>
      </w:r>
      <w:proofErr w:type="spellStart"/>
      <w:r w:rsidRPr="00FC6835">
        <w:rPr>
          <w:rFonts w:ascii="Garamond" w:hAnsi="Garamond"/>
          <w:i/>
        </w:rPr>
        <w:t>Effect</w:t>
      </w:r>
      <w:proofErr w:type="spellEnd"/>
      <w:r w:rsidRPr="00FC6835">
        <w:rPr>
          <w:rFonts w:ascii="Garamond" w:hAnsi="Garamond"/>
          <w:i/>
        </w:rPr>
        <w:t xml:space="preserve">. </w:t>
      </w:r>
      <w:proofErr w:type="spellStart"/>
      <w:r w:rsidRPr="00FC6835">
        <w:rPr>
          <w:rFonts w:ascii="Garamond" w:hAnsi="Garamond"/>
          <w:i/>
        </w:rPr>
        <w:t>Understanding</w:t>
      </w:r>
      <w:proofErr w:type="spellEnd"/>
      <w:r w:rsidRPr="00FC6835">
        <w:rPr>
          <w:rFonts w:ascii="Garamond" w:hAnsi="Garamond"/>
          <w:i/>
        </w:rPr>
        <w:t xml:space="preserve"> </w:t>
      </w:r>
      <w:proofErr w:type="spellStart"/>
      <w:r w:rsidRPr="00FC6835">
        <w:rPr>
          <w:rFonts w:ascii="Garamond" w:hAnsi="Garamond"/>
          <w:i/>
        </w:rPr>
        <w:t>How</w:t>
      </w:r>
      <w:proofErr w:type="spellEnd"/>
      <w:r w:rsidRPr="00FC6835">
        <w:rPr>
          <w:rFonts w:ascii="Garamond" w:hAnsi="Garamond"/>
          <w:i/>
        </w:rPr>
        <w:t xml:space="preserve"> </w:t>
      </w:r>
      <w:proofErr w:type="spellStart"/>
      <w:r w:rsidRPr="00FC6835">
        <w:rPr>
          <w:rFonts w:ascii="Garamond" w:hAnsi="Garamond"/>
          <w:i/>
        </w:rPr>
        <w:t>Good</w:t>
      </w:r>
      <w:proofErr w:type="spellEnd"/>
      <w:r w:rsidRPr="00FC6835">
        <w:rPr>
          <w:rFonts w:ascii="Garamond" w:hAnsi="Garamond"/>
          <w:i/>
        </w:rPr>
        <w:t xml:space="preserve"> People Turn </w:t>
      </w:r>
      <w:proofErr w:type="spellStart"/>
      <w:r w:rsidRPr="00FC6835">
        <w:rPr>
          <w:rFonts w:ascii="Garamond" w:hAnsi="Garamond"/>
          <w:i/>
        </w:rPr>
        <w:t>Evil</w:t>
      </w:r>
      <w:proofErr w:type="spellEnd"/>
      <w:r>
        <w:rPr>
          <w:rFonts w:ascii="Garamond" w:hAnsi="Garamond"/>
        </w:rPr>
        <w:t xml:space="preserve">, </w:t>
      </w:r>
      <w:proofErr w:type="spellStart"/>
      <w:proofErr w:type="gramStart"/>
      <w:r>
        <w:rPr>
          <w:rFonts w:ascii="Garamond" w:hAnsi="Garamond"/>
        </w:rPr>
        <w:t>Random</w:t>
      </w:r>
      <w:proofErr w:type="spellEnd"/>
      <w:proofErr w:type="gramEnd"/>
      <w:r>
        <w:rPr>
          <w:rFonts w:ascii="Garamond" w:hAnsi="Garamond"/>
        </w:rPr>
        <w:t xml:space="preserve"> House </w:t>
      </w:r>
      <w:proofErr w:type="spellStart"/>
      <w:r>
        <w:rPr>
          <w:rFonts w:ascii="Garamond" w:hAnsi="Garamond"/>
        </w:rPr>
        <w:t>Trade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Paperbacks</w:t>
      </w:r>
      <w:proofErr w:type="spellEnd"/>
      <w:r>
        <w:rPr>
          <w:rFonts w:ascii="Garamond" w:hAnsi="Garamond"/>
        </w:rPr>
        <w:t xml:space="preserve">, 2008, trad. </w:t>
      </w:r>
      <w:proofErr w:type="spellStart"/>
      <w:r>
        <w:rPr>
          <w:rFonts w:ascii="Garamond" w:hAnsi="Garamond"/>
        </w:rPr>
        <w:t>it</w:t>
      </w:r>
      <w:proofErr w:type="spellEnd"/>
      <w:r>
        <w:rPr>
          <w:rFonts w:ascii="Garamond" w:hAnsi="Garamond"/>
        </w:rPr>
        <w:t xml:space="preserve">. Id., </w:t>
      </w:r>
      <w:r w:rsidRPr="00FC6835">
        <w:rPr>
          <w:rFonts w:ascii="Garamond" w:hAnsi="Garamond"/>
          <w:i/>
        </w:rPr>
        <w:t xml:space="preserve">L'effetto Lucifero. Cattivi si </w:t>
      </w:r>
      <w:proofErr w:type="gramStart"/>
      <w:r w:rsidRPr="00FC6835">
        <w:rPr>
          <w:rFonts w:ascii="Garamond" w:hAnsi="Garamond"/>
          <w:i/>
        </w:rPr>
        <w:t>diventa</w:t>
      </w:r>
      <w:proofErr w:type="gramEnd"/>
      <w:r w:rsidRPr="00FC6835">
        <w:rPr>
          <w:rFonts w:ascii="Garamond" w:hAnsi="Garamond"/>
          <w:i/>
        </w:rPr>
        <w:t>?</w:t>
      </w:r>
      <w:r w:rsidRPr="003739DD">
        <w:rPr>
          <w:rFonts w:ascii="Garamond" w:hAnsi="Garamond"/>
        </w:rPr>
        <w:t>, Raffaello Cortina, Milano 2008</w:t>
      </w:r>
    </w:p>
  </w:footnote>
  <w:footnote w:id="9">
    <w:p w:rsidR="00662A4D" w:rsidRPr="00E10B79" w:rsidRDefault="00662A4D" w:rsidP="00F216F8">
      <w:pPr>
        <w:spacing w:line="240" w:lineRule="auto"/>
        <w:contextualSpacing/>
        <w:jc w:val="both"/>
        <w:rPr>
          <w:rFonts w:ascii="Garamond" w:hAnsi="Garamond"/>
          <w:sz w:val="20"/>
          <w:szCs w:val="20"/>
        </w:rPr>
      </w:pPr>
      <w:r w:rsidRPr="00E10B79">
        <w:rPr>
          <w:rStyle w:val="FootnoteReference"/>
          <w:rFonts w:ascii="Garamond" w:hAnsi="Garamond"/>
          <w:sz w:val="20"/>
          <w:szCs w:val="20"/>
        </w:rPr>
        <w:footnoteRef/>
      </w:r>
      <w:r w:rsidRPr="00E10B79">
        <w:rPr>
          <w:rFonts w:ascii="Garamond" w:hAnsi="Garamond"/>
          <w:sz w:val="20"/>
          <w:szCs w:val="20"/>
        </w:rPr>
        <w:t xml:space="preserve"> </w:t>
      </w:r>
      <w:proofErr w:type="gramStart"/>
      <w:r w:rsidRPr="00E10B79">
        <w:rPr>
          <w:rFonts w:ascii="Garamond" w:hAnsi="Garamond"/>
          <w:sz w:val="20"/>
          <w:szCs w:val="20"/>
        </w:rPr>
        <w:t>H.</w:t>
      </w:r>
      <w:proofErr w:type="gramEnd"/>
      <w:r w:rsidRPr="00E10B79">
        <w:rPr>
          <w:rFonts w:ascii="Garamond" w:hAnsi="Garamond"/>
          <w:sz w:val="20"/>
          <w:szCs w:val="20"/>
        </w:rPr>
        <w:t xml:space="preserve"> </w:t>
      </w:r>
      <w:proofErr w:type="spellStart"/>
      <w:r w:rsidRPr="00E10B79">
        <w:rPr>
          <w:rFonts w:ascii="Garamond" w:hAnsi="Garamond"/>
          <w:sz w:val="20"/>
          <w:szCs w:val="20"/>
        </w:rPr>
        <w:t>Arendt</w:t>
      </w:r>
      <w:proofErr w:type="spellEnd"/>
      <w:r w:rsidRPr="00E10B79">
        <w:rPr>
          <w:rFonts w:ascii="Garamond" w:hAnsi="Garamond"/>
          <w:sz w:val="20"/>
          <w:szCs w:val="20"/>
        </w:rPr>
        <w:t xml:space="preserve">, </w:t>
      </w:r>
      <w:r w:rsidRPr="008166D9">
        <w:rPr>
          <w:rFonts w:ascii="Garamond" w:hAnsi="Garamond"/>
          <w:i/>
          <w:sz w:val="20"/>
          <w:szCs w:val="20"/>
        </w:rPr>
        <w:t>Responsabilità collettiva</w:t>
      </w:r>
      <w:r w:rsidRPr="00E10B79">
        <w:rPr>
          <w:rFonts w:ascii="Garamond" w:hAnsi="Garamond"/>
          <w:sz w:val="20"/>
          <w:szCs w:val="20"/>
        </w:rPr>
        <w:t xml:space="preserve">, in </w:t>
      </w:r>
      <w:r w:rsidRPr="008166D9">
        <w:rPr>
          <w:rFonts w:ascii="Garamond" w:hAnsi="Garamond"/>
          <w:i/>
          <w:sz w:val="20"/>
          <w:szCs w:val="20"/>
        </w:rPr>
        <w:t>Responsabilità e giudizio</w:t>
      </w:r>
      <w:r w:rsidRPr="00E10B79">
        <w:rPr>
          <w:rFonts w:ascii="Garamond" w:hAnsi="Garamond"/>
          <w:sz w:val="20"/>
          <w:szCs w:val="20"/>
        </w:rPr>
        <w:t xml:space="preserve">, Einaudi, Torino 2003, p. 128; cfr. anche Id., </w:t>
      </w:r>
      <w:r w:rsidRPr="008166D9">
        <w:rPr>
          <w:rFonts w:ascii="Garamond" w:hAnsi="Garamond"/>
          <w:i/>
          <w:sz w:val="20"/>
          <w:szCs w:val="20"/>
        </w:rPr>
        <w:t>Alcune questioni di filosofia morale</w:t>
      </w:r>
      <w:r w:rsidRPr="00E10B79">
        <w:rPr>
          <w:rFonts w:ascii="Garamond" w:hAnsi="Garamond"/>
          <w:sz w:val="20"/>
          <w:szCs w:val="20"/>
        </w:rPr>
        <w:t xml:space="preserve">, in ivi, p. 57: «perfino i comandamenti religiosi non riescono a formulare una prescrizione morale senza partire dall’io – ‘Ama il prossimo tuo come te stesso’, o ‘Non fare agli altri ciò che non desideri sia fatto a </w:t>
      </w:r>
      <w:proofErr w:type="spellStart"/>
      <w:r w:rsidRPr="00E10B79">
        <w:rPr>
          <w:rFonts w:ascii="Garamond" w:hAnsi="Garamond"/>
          <w:sz w:val="20"/>
          <w:szCs w:val="20"/>
        </w:rPr>
        <w:t>te’</w:t>
      </w:r>
      <w:proofErr w:type="spellEnd"/>
      <w:r w:rsidRPr="00E10B79">
        <w:rPr>
          <w:rFonts w:ascii="Garamond" w:hAnsi="Garamond"/>
          <w:sz w:val="20"/>
          <w:szCs w:val="20"/>
        </w:rPr>
        <w:t>».</w:t>
      </w:r>
    </w:p>
    <w:p w:rsidR="00662A4D" w:rsidRPr="00E10B79" w:rsidRDefault="00662A4D">
      <w:pPr>
        <w:pStyle w:val="FootnoteText"/>
        <w:rPr>
          <w:rFonts w:ascii="Garamond" w:hAnsi="Garamond"/>
        </w:rPr>
      </w:pPr>
    </w:p>
  </w:footnote>
  <w:footnote w:id="10">
    <w:p w:rsidR="00662A4D" w:rsidRPr="00E10B79" w:rsidRDefault="00662A4D">
      <w:pPr>
        <w:pStyle w:val="FootnoteText"/>
        <w:rPr>
          <w:rFonts w:ascii="Garamond" w:hAnsi="Garamond"/>
        </w:rPr>
      </w:pPr>
      <w:r w:rsidRPr="00E10B79">
        <w:rPr>
          <w:rStyle w:val="FootnoteReference"/>
          <w:rFonts w:ascii="Garamond" w:hAnsi="Garamond"/>
        </w:rPr>
        <w:footnoteRef/>
      </w:r>
      <w:r w:rsidRPr="00E10B7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Platone, </w:t>
      </w:r>
      <w:r w:rsidRPr="00F869C3">
        <w:rPr>
          <w:rFonts w:ascii="Garamond" w:hAnsi="Garamond"/>
          <w:i/>
        </w:rPr>
        <w:t>Gorgia</w:t>
      </w:r>
      <w:r>
        <w:rPr>
          <w:rFonts w:ascii="Garamond" w:hAnsi="Garamond"/>
        </w:rPr>
        <w:t xml:space="preserve">, Laterza, </w:t>
      </w:r>
      <w:proofErr w:type="spellStart"/>
      <w:r>
        <w:rPr>
          <w:rFonts w:ascii="Garamond" w:hAnsi="Garamond"/>
        </w:rPr>
        <w:t>Roma-Bari</w:t>
      </w:r>
      <w:proofErr w:type="spellEnd"/>
      <w:r>
        <w:rPr>
          <w:rFonts w:ascii="Garamond" w:hAnsi="Garamond"/>
        </w:rPr>
        <w:t xml:space="preserve"> 2007, 482b-c</w:t>
      </w:r>
      <w:r w:rsidRPr="00E10B79">
        <w:rPr>
          <w:rFonts w:ascii="Garamond" w:hAnsi="Garamond"/>
        </w:rPr>
        <w:t>.</w:t>
      </w:r>
    </w:p>
  </w:footnote>
  <w:footnote w:id="11">
    <w:p w:rsidR="00662A4D" w:rsidRPr="00E10B79" w:rsidRDefault="00662A4D">
      <w:pPr>
        <w:pStyle w:val="FootnoteText"/>
        <w:rPr>
          <w:rFonts w:ascii="Garamond" w:hAnsi="Garamond"/>
        </w:rPr>
      </w:pPr>
      <w:r w:rsidRPr="00E10B79">
        <w:rPr>
          <w:rStyle w:val="FootnoteReference"/>
          <w:rFonts w:ascii="Garamond" w:hAnsi="Garamond"/>
        </w:rPr>
        <w:footnoteRef/>
      </w:r>
      <w:r w:rsidRPr="00E10B79"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H.</w:t>
      </w:r>
      <w:proofErr w:type="gram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Arendt</w:t>
      </w:r>
      <w:proofErr w:type="spellEnd"/>
      <w:r>
        <w:rPr>
          <w:rFonts w:ascii="Garamond" w:hAnsi="Garamond"/>
        </w:rPr>
        <w:t xml:space="preserve">, </w:t>
      </w:r>
      <w:r w:rsidRPr="00F869C3">
        <w:rPr>
          <w:rFonts w:ascii="Garamond" w:hAnsi="Garamond"/>
          <w:i/>
        </w:rPr>
        <w:t>Alcune questioni di filosofia morale</w:t>
      </w:r>
      <w:r w:rsidRPr="00E10B79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in </w:t>
      </w:r>
      <w:r>
        <w:rPr>
          <w:rFonts w:ascii="Garamond" w:hAnsi="Garamond"/>
          <w:i/>
        </w:rPr>
        <w:t>Responsabilità e giudizio</w:t>
      </w:r>
      <w:r>
        <w:rPr>
          <w:rFonts w:ascii="Garamond" w:hAnsi="Garamond"/>
        </w:rPr>
        <w:t xml:space="preserve">, cit., </w:t>
      </w:r>
      <w:r w:rsidRPr="00E10B79">
        <w:rPr>
          <w:rFonts w:ascii="Garamond" w:hAnsi="Garamond"/>
        </w:rPr>
        <w:t>p. 77</w:t>
      </w:r>
    </w:p>
  </w:footnote>
  <w:footnote w:id="12">
    <w:p w:rsidR="00662A4D" w:rsidRPr="00E10B79" w:rsidRDefault="00662A4D">
      <w:pPr>
        <w:pStyle w:val="FootnoteText"/>
        <w:rPr>
          <w:rFonts w:ascii="Garamond" w:hAnsi="Garamond"/>
        </w:rPr>
      </w:pPr>
      <w:r w:rsidRPr="00E10B79">
        <w:rPr>
          <w:rStyle w:val="FootnoteReference"/>
          <w:rFonts w:ascii="Garamond" w:hAnsi="Garamond"/>
        </w:rPr>
        <w:footnoteRef/>
      </w:r>
      <w:r w:rsidRPr="00E10B79">
        <w:rPr>
          <w:rFonts w:ascii="Garamond" w:hAnsi="Garamond"/>
        </w:rPr>
        <w:t xml:space="preserve"> </w:t>
      </w:r>
      <w:r>
        <w:rPr>
          <w:rFonts w:ascii="Garamond" w:hAnsi="Garamond"/>
        </w:rPr>
        <w:t>Ivi</w:t>
      </w:r>
      <w:r w:rsidRPr="00E10B79">
        <w:rPr>
          <w:rFonts w:ascii="Garamond" w:hAnsi="Garamond"/>
        </w:rPr>
        <w:t>, pp. 83-84</w:t>
      </w:r>
    </w:p>
  </w:footnote>
  <w:footnote w:id="13">
    <w:p w:rsidR="00662A4D" w:rsidRPr="00E10B79" w:rsidRDefault="00662A4D" w:rsidP="0006335F">
      <w:pPr>
        <w:pStyle w:val="FootnoteText"/>
        <w:rPr>
          <w:rFonts w:ascii="Garamond" w:hAnsi="Garamond"/>
        </w:rPr>
      </w:pPr>
      <w:r w:rsidRPr="00E10B79">
        <w:rPr>
          <w:rStyle w:val="FootnoteReference"/>
          <w:rFonts w:ascii="Garamond" w:hAnsi="Garamond"/>
        </w:rPr>
        <w:footnoteRef/>
      </w:r>
      <w:r w:rsidRPr="00E10B79">
        <w:rPr>
          <w:rFonts w:ascii="Garamond" w:hAnsi="Garamond"/>
        </w:rPr>
        <w:t xml:space="preserve"> </w:t>
      </w:r>
      <w:r>
        <w:rPr>
          <w:rFonts w:ascii="Garamond" w:hAnsi="Garamond"/>
        </w:rPr>
        <w:t>Ibid.</w:t>
      </w:r>
      <w:r w:rsidRPr="00E10B79">
        <w:rPr>
          <w:rFonts w:ascii="Garamond" w:hAnsi="Garamond"/>
        </w:rPr>
        <w:t>, il primo corsivo è mio, il secondo dell’autrice.</w:t>
      </w:r>
    </w:p>
  </w:footnote>
  <w:footnote w:id="14">
    <w:p w:rsidR="00662A4D" w:rsidRPr="00BE53C3" w:rsidRDefault="00662A4D" w:rsidP="00BE53C3">
      <w:pPr>
        <w:pStyle w:val="FootnoteText"/>
        <w:jc w:val="both"/>
        <w:rPr>
          <w:rFonts w:ascii="Garamond" w:hAnsi="Garamond"/>
        </w:rPr>
      </w:pPr>
      <w:r w:rsidRPr="00BE53C3">
        <w:rPr>
          <w:rStyle w:val="FootnoteReference"/>
          <w:rFonts w:ascii="Garamond" w:hAnsi="Garamond"/>
        </w:rPr>
        <w:footnoteRef/>
      </w:r>
      <w:r w:rsidRPr="00BE53C3">
        <w:rPr>
          <w:rFonts w:ascii="Garamond" w:hAnsi="Garamond"/>
        </w:rPr>
        <w:t xml:space="preserve"> Ivi, p. 86, corsivo dell’autrice. Certo si potrebbe aprire, qui, un’altra lunga parentesi su </w:t>
      </w:r>
      <w:proofErr w:type="gramStart"/>
      <w:r w:rsidRPr="00BE53C3">
        <w:rPr>
          <w:rFonts w:ascii="Garamond" w:hAnsi="Garamond"/>
        </w:rPr>
        <w:t>questa</w:t>
      </w:r>
      <w:proofErr w:type="gramEnd"/>
      <w:r w:rsidRPr="00BE53C3">
        <w:rPr>
          <w:rFonts w:ascii="Garamond" w:hAnsi="Garamond"/>
        </w:rPr>
        <w:t xml:space="preserve"> apparente rinnovata forma di intellettualismo etico, per cui basterebbe conoscere il bene per farlo. Non è possibile che si diano entrambe le condizioni di pensare e di fare il male? Non è cioè possibile fare consapevolmente, con convinzione, il male? </w:t>
      </w:r>
      <w:r>
        <w:rPr>
          <w:rFonts w:ascii="Garamond" w:hAnsi="Garamond"/>
        </w:rPr>
        <w:t>La risposta non è chiara. In ogni caso, q</w:t>
      </w:r>
      <w:r w:rsidRPr="00BE53C3">
        <w:rPr>
          <w:rFonts w:ascii="Garamond" w:hAnsi="Garamond"/>
        </w:rPr>
        <w:t xml:space="preserve">ui </w:t>
      </w:r>
      <w:proofErr w:type="spellStart"/>
      <w:r w:rsidRPr="00BE53C3">
        <w:rPr>
          <w:rFonts w:ascii="Garamond" w:hAnsi="Garamond"/>
        </w:rPr>
        <w:t>Arendt</w:t>
      </w:r>
      <w:proofErr w:type="spellEnd"/>
      <w:r w:rsidRPr="00BE53C3">
        <w:rPr>
          <w:rFonts w:ascii="Garamond" w:hAnsi="Garamond"/>
        </w:rPr>
        <w:t xml:space="preserve"> sembra porre a tutti gli </w:t>
      </w:r>
      <w:proofErr w:type="gramStart"/>
      <w:r w:rsidRPr="00BE53C3">
        <w:rPr>
          <w:rFonts w:ascii="Garamond" w:hAnsi="Garamond"/>
        </w:rPr>
        <w:t>effetti una</w:t>
      </w:r>
      <w:proofErr w:type="gramEnd"/>
      <w:r w:rsidRPr="00BE53C3">
        <w:rPr>
          <w:rFonts w:ascii="Garamond" w:hAnsi="Garamond"/>
        </w:rPr>
        <w:t xml:space="preserve"> questione di metodo: è il </w:t>
      </w:r>
      <w:r w:rsidRPr="00BE53C3">
        <w:rPr>
          <w:rFonts w:ascii="Garamond" w:hAnsi="Garamond"/>
          <w:i/>
        </w:rPr>
        <w:t>come</w:t>
      </w:r>
      <w:r w:rsidRPr="00BE53C3">
        <w:rPr>
          <w:rFonts w:ascii="Garamond" w:hAnsi="Garamond"/>
        </w:rPr>
        <w:t xml:space="preserve"> si pensa, a fare la differenza.</w:t>
      </w:r>
    </w:p>
  </w:footnote>
  <w:footnote w:id="15">
    <w:p w:rsidR="00662A4D" w:rsidRPr="00F869C3" w:rsidRDefault="00662A4D" w:rsidP="00F519B7">
      <w:pPr>
        <w:pStyle w:val="FootnoteText"/>
        <w:rPr>
          <w:rFonts w:ascii="Garamond" w:hAnsi="Garamond"/>
        </w:rPr>
      </w:pPr>
      <w:r w:rsidRPr="00F869C3">
        <w:rPr>
          <w:rStyle w:val="FootnoteReference"/>
          <w:rFonts w:ascii="Garamond" w:hAnsi="Garamond"/>
        </w:rPr>
        <w:footnoteRef/>
      </w:r>
      <w:r w:rsidRPr="00F869C3">
        <w:rPr>
          <w:rFonts w:ascii="Garamond" w:hAnsi="Garamond"/>
        </w:rPr>
        <w:t xml:space="preserve"> </w:t>
      </w:r>
      <w:proofErr w:type="gramStart"/>
      <w:r w:rsidRPr="00F869C3">
        <w:rPr>
          <w:rFonts w:ascii="Garamond" w:hAnsi="Garamond"/>
        </w:rPr>
        <w:t>H.</w:t>
      </w:r>
      <w:proofErr w:type="gramEnd"/>
      <w:r w:rsidRPr="00F869C3">
        <w:rPr>
          <w:rFonts w:ascii="Garamond" w:hAnsi="Garamond"/>
        </w:rPr>
        <w:t xml:space="preserve"> </w:t>
      </w:r>
      <w:proofErr w:type="spellStart"/>
      <w:r w:rsidRPr="00F869C3">
        <w:rPr>
          <w:rFonts w:ascii="Garamond" w:hAnsi="Garamond"/>
        </w:rPr>
        <w:t>Arendt</w:t>
      </w:r>
      <w:proofErr w:type="spellEnd"/>
      <w:r w:rsidRPr="00F869C3">
        <w:rPr>
          <w:rFonts w:ascii="Garamond" w:hAnsi="Garamond"/>
        </w:rPr>
        <w:t xml:space="preserve">, </w:t>
      </w:r>
      <w:r w:rsidRPr="00F869C3">
        <w:rPr>
          <w:rFonts w:ascii="Garamond" w:hAnsi="Garamond"/>
          <w:i/>
        </w:rPr>
        <w:t>Alcune questioni di filosofia morale</w:t>
      </w:r>
      <w:r w:rsidRPr="00F869C3">
        <w:rPr>
          <w:rFonts w:ascii="Garamond" w:hAnsi="Garamond"/>
        </w:rPr>
        <w:t>, in ivi, p. 95.</w:t>
      </w:r>
    </w:p>
  </w:footnote>
  <w:footnote w:id="16">
    <w:p w:rsidR="00662A4D" w:rsidRPr="007072F3" w:rsidRDefault="00662A4D" w:rsidP="00F519B7">
      <w:pPr>
        <w:pStyle w:val="FootnoteText"/>
        <w:jc w:val="both"/>
        <w:rPr>
          <w:rFonts w:ascii="Garamond" w:hAnsi="Garamond"/>
        </w:rPr>
      </w:pPr>
      <w:r w:rsidRPr="007072F3">
        <w:rPr>
          <w:rStyle w:val="FootnoteReference"/>
          <w:rFonts w:ascii="Garamond" w:hAnsi="Garamond"/>
        </w:rPr>
        <w:footnoteRef/>
      </w:r>
      <w:r w:rsidRPr="007072F3">
        <w:rPr>
          <w:rFonts w:ascii="Garamond" w:hAnsi="Garamond"/>
        </w:rPr>
        <w:t xml:space="preserve"> Naturalmente, non si sostiene che la </w:t>
      </w:r>
      <w:proofErr w:type="spellStart"/>
      <w:r w:rsidRPr="007072F3">
        <w:rPr>
          <w:rFonts w:ascii="Garamond" w:hAnsi="Garamond"/>
        </w:rPr>
        <w:t>desoggettivazione</w:t>
      </w:r>
      <w:proofErr w:type="spellEnd"/>
      <w:r w:rsidRPr="007072F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implichi </w:t>
      </w:r>
      <w:proofErr w:type="spellStart"/>
      <w:r>
        <w:rPr>
          <w:rFonts w:ascii="Garamond" w:hAnsi="Garamond"/>
        </w:rPr>
        <w:t>deterministicamente</w:t>
      </w:r>
      <w:proofErr w:type="spellEnd"/>
      <w:r>
        <w:rPr>
          <w:rFonts w:ascii="Garamond" w:hAnsi="Garamond"/>
        </w:rPr>
        <w:t xml:space="preserve"> il male:</w:t>
      </w:r>
      <w:r w:rsidRPr="007072F3">
        <w:rPr>
          <w:rFonts w:ascii="Garamond" w:hAnsi="Garamond"/>
        </w:rPr>
        <w:t xml:space="preserve"> vi sono molti esempi di </w:t>
      </w:r>
      <w:proofErr w:type="spellStart"/>
      <w:r w:rsidRPr="007072F3">
        <w:rPr>
          <w:rFonts w:ascii="Garamond" w:hAnsi="Garamond"/>
        </w:rPr>
        <w:t>desoggettivazione</w:t>
      </w:r>
      <w:proofErr w:type="spellEnd"/>
      <w:r w:rsidRPr="007072F3">
        <w:rPr>
          <w:rFonts w:ascii="Garamond" w:hAnsi="Garamond"/>
        </w:rPr>
        <w:t xml:space="preserve"> </w:t>
      </w:r>
      <w:r>
        <w:rPr>
          <w:rFonts w:ascii="Garamond" w:hAnsi="Garamond"/>
        </w:rPr>
        <w:t>del tutto innocui (es. i mangiatori di Loto nell’Odissea)</w:t>
      </w:r>
      <w:r w:rsidRPr="007072F3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</w:footnote>
  <w:footnote w:id="17">
    <w:p w:rsidR="00662A4D" w:rsidRPr="00E10B79" w:rsidRDefault="00662A4D">
      <w:pPr>
        <w:pStyle w:val="FootnoteText"/>
        <w:rPr>
          <w:rFonts w:ascii="Garamond" w:hAnsi="Garamond"/>
        </w:rPr>
      </w:pPr>
      <w:r w:rsidRPr="00E10B79">
        <w:rPr>
          <w:rStyle w:val="FootnoteReference"/>
          <w:rFonts w:ascii="Garamond" w:hAnsi="Garamond"/>
        </w:rPr>
        <w:footnoteRef/>
      </w:r>
      <w:r w:rsidRPr="00E10B79"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H.</w:t>
      </w:r>
      <w:proofErr w:type="gram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Arendt</w:t>
      </w:r>
      <w:proofErr w:type="spellEnd"/>
      <w:r>
        <w:rPr>
          <w:rFonts w:ascii="Garamond" w:hAnsi="Garamond"/>
        </w:rPr>
        <w:t xml:space="preserve">, </w:t>
      </w:r>
      <w:r w:rsidRPr="00F869C3">
        <w:rPr>
          <w:rFonts w:ascii="Garamond" w:hAnsi="Garamond"/>
          <w:i/>
        </w:rPr>
        <w:t>Il pensiero e le considerazioni morali</w:t>
      </w:r>
      <w:r w:rsidRPr="00E10B79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in </w:t>
      </w:r>
      <w:r w:rsidRPr="00F869C3">
        <w:rPr>
          <w:rFonts w:ascii="Garamond" w:hAnsi="Garamond"/>
          <w:i/>
        </w:rPr>
        <w:t>Responsabilità e giudizio</w:t>
      </w:r>
      <w:r>
        <w:rPr>
          <w:rFonts w:ascii="Garamond" w:hAnsi="Garamond"/>
        </w:rPr>
        <w:t xml:space="preserve">, cit., </w:t>
      </w:r>
      <w:r w:rsidRPr="00E10B79">
        <w:rPr>
          <w:rFonts w:ascii="Garamond" w:hAnsi="Garamond"/>
        </w:rPr>
        <w:t>p. 137</w:t>
      </w:r>
      <w:r>
        <w:rPr>
          <w:rFonts w:ascii="Garamond" w:hAnsi="Garamond"/>
        </w:rPr>
        <w:t>.</w:t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D17B1"/>
    <w:multiLevelType w:val="hybridMultilevel"/>
    <w:tmpl w:val="6FC8A84E"/>
    <w:lvl w:ilvl="0" w:tplc="48F2DCC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6396D65"/>
    <w:multiLevelType w:val="hybridMultilevel"/>
    <w:tmpl w:val="6FC8A84E"/>
    <w:lvl w:ilvl="0" w:tplc="48F2DCC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9BE"/>
    <w:rsid w:val="00001725"/>
    <w:rsid w:val="00015BB3"/>
    <w:rsid w:val="00017ED2"/>
    <w:rsid w:val="0002028A"/>
    <w:rsid w:val="0002202B"/>
    <w:rsid w:val="00023921"/>
    <w:rsid w:val="000309C3"/>
    <w:rsid w:val="000441DF"/>
    <w:rsid w:val="000447DC"/>
    <w:rsid w:val="00046FB1"/>
    <w:rsid w:val="000538FF"/>
    <w:rsid w:val="0006278C"/>
    <w:rsid w:val="0006335F"/>
    <w:rsid w:val="00064998"/>
    <w:rsid w:val="00066577"/>
    <w:rsid w:val="000728FD"/>
    <w:rsid w:val="00072AAF"/>
    <w:rsid w:val="00080F50"/>
    <w:rsid w:val="000A64DD"/>
    <w:rsid w:val="000B1824"/>
    <w:rsid w:val="000B5C6D"/>
    <w:rsid w:val="000C7A39"/>
    <w:rsid w:val="000D24B4"/>
    <w:rsid w:val="000F1A1C"/>
    <w:rsid w:val="000F61C6"/>
    <w:rsid w:val="001067A0"/>
    <w:rsid w:val="00112993"/>
    <w:rsid w:val="001159E0"/>
    <w:rsid w:val="001245A0"/>
    <w:rsid w:val="0012748C"/>
    <w:rsid w:val="001275E6"/>
    <w:rsid w:val="00133D8E"/>
    <w:rsid w:val="00134CF5"/>
    <w:rsid w:val="00153509"/>
    <w:rsid w:val="00160CCF"/>
    <w:rsid w:val="001669AB"/>
    <w:rsid w:val="00166D23"/>
    <w:rsid w:val="0018795A"/>
    <w:rsid w:val="001939BE"/>
    <w:rsid w:val="00193F76"/>
    <w:rsid w:val="00194303"/>
    <w:rsid w:val="00194F2C"/>
    <w:rsid w:val="001977DE"/>
    <w:rsid w:val="001A7C6B"/>
    <w:rsid w:val="001B185D"/>
    <w:rsid w:val="001D64AB"/>
    <w:rsid w:val="001D6D88"/>
    <w:rsid w:val="001E02CD"/>
    <w:rsid w:val="001E5D5D"/>
    <w:rsid w:val="001F19A9"/>
    <w:rsid w:val="00201622"/>
    <w:rsid w:val="00203521"/>
    <w:rsid w:val="002036C6"/>
    <w:rsid w:val="00204D64"/>
    <w:rsid w:val="00211CAF"/>
    <w:rsid w:val="00224C63"/>
    <w:rsid w:val="002302F8"/>
    <w:rsid w:val="002400E1"/>
    <w:rsid w:val="0024090B"/>
    <w:rsid w:val="0024757B"/>
    <w:rsid w:val="0025295B"/>
    <w:rsid w:val="00253881"/>
    <w:rsid w:val="00265563"/>
    <w:rsid w:val="00277392"/>
    <w:rsid w:val="00277CB3"/>
    <w:rsid w:val="00284637"/>
    <w:rsid w:val="00285B4A"/>
    <w:rsid w:val="00286C27"/>
    <w:rsid w:val="0029258B"/>
    <w:rsid w:val="002A2303"/>
    <w:rsid w:val="002A63B5"/>
    <w:rsid w:val="002A6625"/>
    <w:rsid w:val="002C7420"/>
    <w:rsid w:val="002C7979"/>
    <w:rsid w:val="002D127E"/>
    <w:rsid w:val="002D6AA1"/>
    <w:rsid w:val="002E4156"/>
    <w:rsid w:val="002E7380"/>
    <w:rsid w:val="00300BD5"/>
    <w:rsid w:val="00315E9B"/>
    <w:rsid w:val="0032031C"/>
    <w:rsid w:val="00325B8F"/>
    <w:rsid w:val="00327405"/>
    <w:rsid w:val="00336176"/>
    <w:rsid w:val="00344516"/>
    <w:rsid w:val="0034577C"/>
    <w:rsid w:val="003510D9"/>
    <w:rsid w:val="00355513"/>
    <w:rsid w:val="00355860"/>
    <w:rsid w:val="003567AA"/>
    <w:rsid w:val="0035766B"/>
    <w:rsid w:val="003739DD"/>
    <w:rsid w:val="00375633"/>
    <w:rsid w:val="0038764C"/>
    <w:rsid w:val="003A5069"/>
    <w:rsid w:val="003A5C61"/>
    <w:rsid w:val="003A685A"/>
    <w:rsid w:val="003A7061"/>
    <w:rsid w:val="003B2FD0"/>
    <w:rsid w:val="003B529B"/>
    <w:rsid w:val="003C7B95"/>
    <w:rsid w:val="003D4AEF"/>
    <w:rsid w:val="003D6041"/>
    <w:rsid w:val="003F02FA"/>
    <w:rsid w:val="0041408B"/>
    <w:rsid w:val="00415882"/>
    <w:rsid w:val="00415CEF"/>
    <w:rsid w:val="00425DDE"/>
    <w:rsid w:val="00427A63"/>
    <w:rsid w:val="00432EE2"/>
    <w:rsid w:val="0045059A"/>
    <w:rsid w:val="004537E6"/>
    <w:rsid w:val="0045393C"/>
    <w:rsid w:val="004621F2"/>
    <w:rsid w:val="004636D6"/>
    <w:rsid w:val="0047327F"/>
    <w:rsid w:val="004840A1"/>
    <w:rsid w:val="00487A7D"/>
    <w:rsid w:val="00491181"/>
    <w:rsid w:val="0049672A"/>
    <w:rsid w:val="00496EC7"/>
    <w:rsid w:val="004A194A"/>
    <w:rsid w:val="004A4197"/>
    <w:rsid w:val="004B1E56"/>
    <w:rsid w:val="004B25C8"/>
    <w:rsid w:val="004D0A8F"/>
    <w:rsid w:val="004D0F20"/>
    <w:rsid w:val="004F2297"/>
    <w:rsid w:val="00502988"/>
    <w:rsid w:val="00504BD2"/>
    <w:rsid w:val="005221F2"/>
    <w:rsid w:val="00532D37"/>
    <w:rsid w:val="005442C4"/>
    <w:rsid w:val="00544EDF"/>
    <w:rsid w:val="005457CC"/>
    <w:rsid w:val="00546C65"/>
    <w:rsid w:val="0055117E"/>
    <w:rsid w:val="00551892"/>
    <w:rsid w:val="00566E31"/>
    <w:rsid w:val="00583D64"/>
    <w:rsid w:val="00583F2A"/>
    <w:rsid w:val="005841EB"/>
    <w:rsid w:val="00584E4D"/>
    <w:rsid w:val="00586706"/>
    <w:rsid w:val="00595944"/>
    <w:rsid w:val="005959C8"/>
    <w:rsid w:val="005969F1"/>
    <w:rsid w:val="005A6F65"/>
    <w:rsid w:val="005B267E"/>
    <w:rsid w:val="005C112A"/>
    <w:rsid w:val="005C48EA"/>
    <w:rsid w:val="005D48E6"/>
    <w:rsid w:val="005D6FB0"/>
    <w:rsid w:val="005E04B9"/>
    <w:rsid w:val="00604F8C"/>
    <w:rsid w:val="00642307"/>
    <w:rsid w:val="00653E80"/>
    <w:rsid w:val="00656D15"/>
    <w:rsid w:val="00662A4D"/>
    <w:rsid w:val="00670FD1"/>
    <w:rsid w:val="00671CFC"/>
    <w:rsid w:val="006735DE"/>
    <w:rsid w:val="00694223"/>
    <w:rsid w:val="00695D9B"/>
    <w:rsid w:val="006C0D1C"/>
    <w:rsid w:val="006C74A2"/>
    <w:rsid w:val="006D1A5E"/>
    <w:rsid w:val="006D566B"/>
    <w:rsid w:val="006F2E20"/>
    <w:rsid w:val="006F5954"/>
    <w:rsid w:val="007072F3"/>
    <w:rsid w:val="00741139"/>
    <w:rsid w:val="0074424A"/>
    <w:rsid w:val="00745F77"/>
    <w:rsid w:val="007503E3"/>
    <w:rsid w:val="00754FFD"/>
    <w:rsid w:val="007552F1"/>
    <w:rsid w:val="00770B5C"/>
    <w:rsid w:val="00773F53"/>
    <w:rsid w:val="0077490A"/>
    <w:rsid w:val="0077661B"/>
    <w:rsid w:val="00777FDF"/>
    <w:rsid w:val="00780294"/>
    <w:rsid w:val="007925F1"/>
    <w:rsid w:val="007932AD"/>
    <w:rsid w:val="007A100A"/>
    <w:rsid w:val="007A3BCE"/>
    <w:rsid w:val="007A5923"/>
    <w:rsid w:val="007B1286"/>
    <w:rsid w:val="007B16F6"/>
    <w:rsid w:val="007C4205"/>
    <w:rsid w:val="007D3726"/>
    <w:rsid w:val="007F3F5F"/>
    <w:rsid w:val="0080050F"/>
    <w:rsid w:val="00805395"/>
    <w:rsid w:val="008061FA"/>
    <w:rsid w:val="00810CBD"/>
    <w:rsid w:val="008166D9"/>
    <w:rsid w:val="00823FAA"/>
    <w:rsid w:val="00824D11"/>
    <w:rsid w:val="00837C93"/>
    <w:rsid w:val="0084770D"/>
    <w:rsid w:val="00850358"/>
    <w:rsid w:val="00857F9E"/>
    <w:rsid w:val="00866679"/>
    <w:rsid w:val="00873A92"/>
    <w:rsid w:val="008846E3"/>
    <w:rsid w:val="00886913"/>
    <w:rsid w:val="0088705A"/>
    <w:rsid w:val="0089520D"/>
    <w:rsid w:val="008A05D9"/>
    <w:rsid w:val="008A7312"/>
    <w:rsid w:val="008B0955"/>
    <w:rsid w:val="008B1688"/>
    <w:rsid w:val="008C0BE8"/>
    <w:rsid w:val="008E7A51"/>
    <w:rsid w:val="0091797D"/>
    <w:rsid w:val="0094487A"/>
    <w:rsid w:val="00955DED"/>
    <w:rsid w:val="009729EF"/>
    <w:rsid w:val="0097447E"/>
    <w:rsid w:val="0099221E"/>
    <w:rsid w:val="009A0368"/>
    <w:rsid w:val="009D3E53"/>
    <w:rsid w:val="009D6A93"/>
    <w:rsid w:val="009E4E5C"/>
    <w:rsid w:val="00A12407"/>
    <w:rsid w:val="00A140B9"/>
    <w:rsid w:val="00A46648"/>
    <w:rsid w:val="00A46A1F"/>
    <w:rsid w:val="00A6283D"/>
    <w:rsid w:val="00A66811"/>
    <w:rsid w:val="00A703F6"/>
    <w:rsid w:val="00A7233A"/>
    <w:rsid w:val="00A724DA"/>
    <w:rsid w:val="00A80E56"/>
    <w:rsid w:val="00AA3CE9"/>
    <w:rsid w:val="00AB1148"/>
    <w:rsid w:val="00AB66B0"/>
    <w:rsid w:val="00AD228E"/>
    <w:rsid w:val="00AE1A6F"/>
    <w:rsid w:val="00AE1EA2"/>
    <w:rsid w:val="00AF1DE2"/>
    <w:rsid w:val="00B07ECF"/>
    <w:rsid w:val="00B13243"/>
    <w:rsid w:val="00B14B0B"/>
    <w:rsid w:val="00B3497E"/>
    <w:rsid w:val="00B709EB"/>
    <w:rsid w:val="00B73C6C"/>
    <w:rsid w:val="00B8057A"/>
    <w:rsid w:val="00B80AF5"/>
    <w:rsid w:val="00B906F2"/>
    <w:rsid w:val="00B93265"/>
    <w:rsid w:val="00B96558"/>
    <w:rsid w:val="00BA0FA8"/>
    <w:rsid w:val="00BA2F5C"/>
    <w:rsid w:val="00BC0969"/>
    <w:rsid w:val="00BC73C2"/>
    <w:rsid w:val="00BE53C3"/>
    <w:rsid w:val="00C0654E"/>
    <w:rsid w:val="00C32C6F"/>
    <w:rsid w:val="00C364B2"/>
    <w:rsid w:val="00C37450"/>
    <w:rsid w:val="00C437AC"/>
    <w:rsid w:val="00C43F09"/>
    <w:rsid w:val="00C45177"/>
    <w:rsid w:val="00C454CA"/>
    <w:rsid w:val="00C460A7"/>
    <w:rsid w:val="00C4780F"/>
    <w:rsid w:val="00C50C8E"/>
    <w:rsid w:val="00C514BE"/>
    <w:rsid w:val="00C56DC2"/>
    <w:rsid w:val="00C64529"/>
    <w:rsid w:val="00C72FA0"/>
    <w:rsid w:val="00C75511"/>
    <w:rsid w:val="00C76AD2"/>
    <w:rsid w:val="00C80B2B"/>
    <w:rsid w:val="00C80E7C"/>
    <w:rsid w:val="00C839D3"/>
    <w:rsid w:val="00C917C8"/>
    <w:rsid w:val="00C96D9B"/>
    <w:rsid w:val="00C972AA"/>
    <w:rsid w:val="00CA1E73"/>
    <w:rsid w:val="00CB6A32"/>
    <w:rsid w:val="00CC5B68"/>
    <w:rsid w:val="00CE68AA"/>
    <w:rsid w:val="00CF23F0"/>
    <w:rsid w:val="00CF6FC1"/>
    <w:rsid w:val="00D009FE"/>
    <w:rsid w:val="00D16369"/>
    <w:rsid w:val="00D20C48"/>
    <w:rsid w:val="00D21CCD"/>
    <w:rsid w:val="00D4012D"/>
    <w:rsid w:val="00D46CC4"/>
    <w:rsid w:val="00D50E33"/>
    <w:rsid w:val="00D64A49"/>
    <w:rsid w:val="00D74271"/>
    <w:rsid w:val="00D80231"/>
    <w:rsid w:val="00D80D3A"/>
    <w:rsid w:val="00D86782"/>
    <w:rsid w:val="00D869BF"/>
    <w:rsid w:val="00D907BD"/>
    <w:rsid w:val="00D95A66"/>
    <w:rsid w:val="00D969DD"/>
    <w:rsid w:val="00DA022B"/>
    <w:rsid w:val="00DA2C8D"/>
    <w:rsid w:val="00DA4BD0"/>
    <w:rsid w:val="00DB147B"/>
    <w:rsid w:val="00DB4EB4"/>
    <w:rsid w:val="00DB64C0"/>
    <w:rsid w:val="00DD5280"/>
    <w:rsid w:val="00DF385A"/>
    <w:rsid w:val="00DF5C6B"/>
    <w:rsid w:val="00E06B27"/>
    <w:rsid w:val="00E10B79"/>
    <w:rsid w:val="00E247C7"/>
    <w:rsid w:val="00E2494A"/>
    <w:rsid w:val="00E40A9A"/>
    <w:rsid w:val="00E43358"/>
    <w:rsid w:val="00E443C8"/>
    <w:rsid w:val="00E46F3B"/>
    <w:rsid w:val="00E51D37"/>
    <w:rsid w:val="00E7202B"/>
    <w:rsid w:val="00E731CA"/>
    <w:rsid w:val="00EB2F29"/>
    <w:rsid w:val="00ED100D"/>
    <w:rsid w:val="00ED2736"/>
    <w:rsid w:val="00ED7BFC"/>
    <w:rsid w:val="00EE1C28"/>
    <w:rsid w:val="00EE3496"/>
    <w:rsid w:val="00EE49AF"/>
    <w:rsid w:val="00EF0B45"/>
    <w:rsid w:val="00EF4674"/>
    <w:rsid w:val="00EF56E0"/>
    <w:rsid w:val="00EF5E83"/>
    <w:rsid w:val="00F00A6A"/>
    <w:rsid w:val="00F216F8"/>
    <w:rsid w:val="00F238D5"/>
    <w:rsid w:val="00F32054"/>
    <w:rsid w:val="00F32238"/>
    <w:rsid w:val="00F456EA"/>
    <w:rsid w:val="00F519B7"/>
    <w:rsid w:val="00F7313D"/>
    <w:rsid w:val="00F81CA0"/>
    <w:rsid w:val="00F869C3"/>
    <w:rsid w:val="00F96E3A"/>
    <w:rsid w:val="00FA3C00"/>
    <w:rsid w:val="00FB2C51"/>
    <w:rsid w:val="00FB38B9"/>
    <w:rsid w:val="00FC6835"/>
    <w:rsid w:val="00FC6B1B"/>
    <w:rsid w:val="00FE6AEE"/>
    <w:rsid w:val="00FF7FDF"/>
  </w:rsids>
  <m:mathPr>
    <m:mathFont m:val="Philosopher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0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50C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C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0C8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E04B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50358"/>
  </w:style>
  <w:style w:type="paragraph" w:styleId="Header">
    <w:name w:val="header"/>
    <w:basedOn w:val="Normal"/>
    <w:link w:val="HeaderChar"/>
    <w:uiPriority w:val="99"/>
    <w:semiHidden/>
    <w:unhideWhenUsed/>
    <w:rsid w:val="00544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4EDF"/>
  </w:style>
  <w:style w:type="paragraph" w:styleId="Footer">
    <w:name w:val="footer"/>
    <w:basedOn w:val="Normal"/>
    <w:link w:val="FooterChar"/>
    <w:uiPriority w:val="99"/>
    <w:unhideWhenUsed/>
    <w:rsid w:val="00544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xmlns:a="http://schemas.openxmlformats.org/drawingml/2006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C84AB-2754-3E49-9EC9-995A6437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6047</Words>
  <Characters>34473</Characters>
  <Application>Microsoft Macintosh Word</Application>
  <DocSecurity>0</DocSecurity>
  <Lines>287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Celentano</dc:creator>
  <cp:lastModifiedBy>Fiorinda Li Vigni</cp:lastModifiedBy>
  <cp:revision>3</cp:revision>
  <cp:lastPrinted>2015-06-19T07:12:00Z</cp:lastPrinted>
  <dcterms:created xsi:type="dcterms:W3CDTF">2015-06-20T09:18:00Z</dcterms:created>
  <dcterms:modified xsi:type="dcterms:W3CDTF">2015-07-12T19:44:00Z</dcterms:modified>
</cp:coreProperties>
</file>